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Autospacing="1" w:after="156" w:afterAutospacing="1"/>
        <w:ind w:left="0" w:leftChars="0" w:firstLine="0" w:firstLineChars="0"/>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创新创业视角下大学生就业模式指导探究</w:t>
      </w:r>
    </w:p>
    <w:p>
      <w:pPr>
        <w:ind w:left="0" w:leftChars="0" w:firstLine="0" w:firstLineChars="0"/>
        <w:rPr>
          <w:rFonts w:hint="default"/>
          <w:lang w:val="en-US" w:eastAsia="zh-CN"/>
        </w:rPr>
      </w:pPr>
      <w:r>
        <w:rPr>
          <w:rFonts w:hint="eastAsia"/>
          <w:lang w:val="en-US" w:eastAsia="zh-CN"/>
        </w:rPr>
        <w:t>关键词：创新创业；大学生就业；就业模式</w:t>
      </w:r>
    </w:p>
    <w:p>
      <w:pPr>
        <w:pStyle w:val="11"/>
        <w:bidi w:val="0"/>
        <w:rPr>
          <w:rFonts w:hint="eastAsia"/>
          <w:lang w:val="en-US" w:eastAsia="zh-CN"/>
        </w:rPr>
      </w:pPr>
      <w:r>
        <w:rPr>
          <w:rFonts w:hint="eastAsia"/>
          <w:lang w:val="en-US" w:eastAsia="zh-CN"/>
        </w:rPr>
        <w:t>1引言</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pPr>
      <w:r>
        <w:rPr>
          <w:rFonts w:hint="eastAsia"/>
        </w:rPr>
        <w:t>党的十八大以来，以习近平同志为核心的党中央高度重视高校毕业生等青年就业创业工作，把确保高校毕业生就业大局稳定作为稳就业工作的重中之重，采取了一系列政策措施，推动高校毕业生就业工作实现了总体平稳。以此为契机，全面推进大学生就业能力培养模式的改革与创新。</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r>
        <w:rPr>
          <w:rFonts w:hint="eastAsia"/>
        </w:rPr>
        <w:t>本文以“创新创业”和“大学生就业”为研究主题，针对中国知网、中国统计局等权威信息源展开检索分析，通过文献分析法、文献计量法、网络调研法等研究，将创新创业与大学生就业能力培养相结合，为有效解决大学生就业能力的提升和就业难的问题提出对策和建议。</w:t>
      </w:r>
    </w:p>
    <w:p>
      <w:pPr>
        <w:pStyle w:val="11"/>
        <w:bidi w:val="0"/>
        <w:rPr>
          <w:rFonts w:hint="default"/>
          <w:lang w:val="en-US" w:eastAsia="zh-CN"/>
        </w:rPr>
      </w:pPr>
      <w:r>
        <w:rPr>
          <w:rFonts w:hint="eastAsia"/>
          <w:lang w:val="en-US" w:eastAsia="zh-CN"/>
        </w:rPr>
        <w:t>2 检索策略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r>
        <w:rPr>
          <w:rFonts w:hint="eastAsia"/>
        </w:rPr>
        <w:t>本文以“创新创业”和“大学生就业”为主题词，通过同义拓展及上、下位概念扩充，选取“就业能力”“就业模式”等作为检索词，并结合各权威信息源检索特点构建差异化检索式展开检索，并从创新创业视角下大学生就业指导模式这一方向获取国内外大学生就业能力发展的科学文献、事实数据及其他相关信息。选取的信息源及对应检索式见表1。</w:t>
      </w:r>
    </w:p>
    <w:p>
      <w:pPr>
        <w:pStyle w:val="4"/>
        <w:keepNext/>
        <w:keepLines w:val="0"/>
        <w:pageBreakBefore w:val="0"/>
        <w:widowControl w:val="0"/>
        <w:kinsoku/>
        <w:wordWrap/>
        <w:overflowPunct/>
        <w:topLinePunct w:val="0"/>
        <w:autoSpaceDE/>
        <w:autoSpaceDN/>
        <w:bidi w:val="0"/>
        <w:adjustRightInd/>
        <w:snapToGrid/>
        <w:spacing w:before="157" w:beforeLines="50"/>
        <w:ind w:left="0" w:hanging="400" w:hangingChars="200"/>
        <w:jc w:val="center"/>
        <w:textAlignment w:val="auto"/>
        <w:rPr>
          <w:rFonts w:hint="eastAsia"/>
        </w:rPr>
      </w:pPr>
      <w:bookmarkStart w:id="0" w:name="_Ref21789"/>
      <w:r>
        <w:t xml:space="preserve">表 </w:t>
      </w:r>
      <w:r>
        <w:fldChar w:fldCharType="begin"/>
      </w:r>
      <w:r>
        <w:instrText xml:space="preserve"> SEQ 表 \* ARABIC </w:instrText>
      </w:r>
      <w:r>
        <w:fldChar w:fldCharType="separate"/>
      </w:r>
      <w:r>
        <w:t>1</w:t>
      </w:r>
      <w:r>
        <w:fldChar w:fldCharType="end"/>
      </w:r>
      <w:bookmarkEnd w:id="0"/>
      <w:r>
        <w:rPr>
          <w:rFonts w:hint="eastAsia"/>
        </w:rPr>
        <w:t>信息源检索策略</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rPr>
      </w:pPr>
      <w:bookmarkStart w:id="1" w:name="_Ref5459"/>
      <w:bookmarkEnd w:id="1"/>
      <w:r>
        <w:drawing>
          <wp:inline distT="0" distB="0" distL="114300" distR="114300">
            <wp:extent cx="5268595" cy="2967355"/>
            <wp:effectExtent l="0" t="0" r="444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68595" cy="2967355"/>
                    </a:xfrm>
                    <a:prstGeom prst="rect">
                      <a:avLst/>
                    </a:prstGeom>
                    <a:noFill/>
                    <a:ln>
                      <a:noFill/>
                    </a:ln>
                  </pic:spPr>
                </pic:pic>
              </a:graphicData>
            </a:graphic>
          </wp:inline>
        </w:drawing>
      </w:r>
      <w:r>
        <w:drawing>
          <wp:inline distT="0" distB="0" distL="114300" distR="114300">
            <wp:extent cx="5233035" cy="3420110"/>
            <wp:effectExtent l="0" t="0" r="952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233035" cy="3420110"/>
                    </a:xfrm>
                    <a:prstGeom prst="rect">
                      <a:avLst/>
                    </a:prstGeom>
                    <a:noFill/>
                    <a:ln>
                      <a:noFill/>
                    </a:ln>
                  </pic:spPr>
                </pic:pic>
              </a:graphicData>
            </a:graphic>
          </wp:inline>
        </w:drawing>
      </w:r>
    </w:p>
    <w:p>
      <w:pPr>
        <w:pStyle w:val="11"/>
        <w:bidi w:val="0"/>
        <w:rPr>
          <w:rFonts w:hint="default"/>
        </w:rPr>
      </w:pPr>
      <w:r>
        <w:rPr>
          <w:rFonts w:hint="default"/>
        </w:rPr>
        <w:t>3 分析</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lang w:val="en-US" w:eastAsia="zh-CN"/>
        </w:rPr>
      </w:pPr>
      <w:r>
        <w:rPr>
          <w:rFonts w:hint="eastAsia"/>
          <w:lang w:val="en-US" w:eastAsia="zh-CN"/>
        </w:rPr>
        <w:t>本文针对检索结果进行筛选、提炼，基于“大学生就业”新模式进行了现状分析，并论述其面临的机遇、挑战和对策。</w:t>
      </w:r>
    </w:p>
    <w:p>
      <w:pPr>
        <w:pStyle w:val="11"/>
        <w:bidi w:val="0"/>
        <w:rPr>
          <w:rFonts w:hint="eastAsia"/>
          <w:lang w:val="en-US" w:eastAsia="zh-CN"/>
        </w:rPr>
      </w:pPr>
      <w:r>
        <w:rPr>
          <w:rFonts w:hint="default"/>
        </w:rPr>
        <w:t>3.1</w:t>
      </w:r>
      <w:r>
        <w:rPr>
          <w:rFonts w:hint="eastAsia"/>
          <w:lang w:val="en-US" w:eastAsia="zh-CN"/>
        </w:rPr>
        <w:t>国内外研究现状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lang w:val="en-US" w:eastAsia="zh-CN"/>
        </w:rPr>
      </w:pPr>
      <w:r>
        <w:rPr>
          <w:rFonts w:hint="eastAsia"/>
          <w:lang w:val="en-US" w:eastAsia="zh-CN"/>
        </w:rPr>
        <w:t>本文主要从发文量、研究主题、高校毕业生人数以及主要学科就业率这四个个方面对大学生就业的当前现状进行分析论述。</w:t>
      </w:r>
    </w:p>
    <w:p>
      <w:pPr>
        <w:pStyle w:val="11"/>
        <w:bidi w:val="0"/>
        <w:rPr>
          <w:rFonts w:hint="default"/>
        </w:rPr>
      </w:pPr>
      <w:r>
        <w:rPr>
          <w:rFonts w:hint="default"/>
        </w:rPr>
        <w:t>3.1.1发文情况</w:t>
      </w:r>
    </w:p>
    <w:p>
      <w:pPr>
        <w:ind w:left="0" w:leftChars="0" w:firstLine="0" w:firstLineChars="0"/>
        <w:jc w:val="both"/>
        <w:rPr>
          <w:rFonts w:hint="eastAsia" w:eastAsia="黑体" w:cs="宋体" w:asciiTheme="majorHAnsi" w:hAnsiTheme="majorHAnsi"/>
          <w:sz w:val="20"/>
          <w:szCs w:val="20"/>
          <w:lang w:val="en-US" w:eastAsia="zh-CN"/>
        </w:rPr>
      </w:pPr>
      <w:r>
        <w:rPr>
          <w:rFonts w:hint="eastAsia" w:eastAsia="黑体" w:cs="宋体" w:asciiTheme="majorHAnsi" w:hAnsiTheme="majorHAnsi"/>
          <w:sz w:val="20"/>
          <w:szCs w:val="20"/>
          <w:lang w:val="en-US" w:eastAsia="zh-CN"/>
        </w:rPr>
        <w:drawing>
          <wp:inline distT="0" distB="0" distL="114300" distR="114300">
            <wp:extent cx="5266690" cy="1534160"/>
            <wp:effectExtent l="0" t="0" r="6350" b="5080"/>
            <wp:docPr id="4" name="图片 4" descr="屏幕截图 2024-05-19 08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屏幕截图 2024-05-19 085944"/>
                    <pic:cNvPicPr>
                      <a:picLocks noChangeAspect="1"/>
                    </pic:cNvPicPr>
                  </pic:nvPicPr>
                  <pic:blipFill>
                    <a:blip r:embed="rId8"/>
                    <a:stretch>
                      <a:fillRect/>
                    </a:stretch>
                  </pic:blipFill>
                  <pic:spPr>
                    <a:xfrm>
                      <a:off x="0" y="0"/>
                      <a:ext cx="5266690" cy="1534160"/>
                    </a:xfrm>
                    <a:prstGeom prst="rect">
                      <a:avLst/>
                    </a:prstGeom>
                  </pic:spPr>
                </pic:pic>
              </a:graphicData>
            </a:graphic>
          </wp:inline>
        </w:drawing>
      </w:r>
    </w:p>
    <w:p>
      <w:pPr>
        <w:ind w:left="0" w:leftChars="0" w:firstLine="0" w:firstLineChars="0"/>
        <w:jc w:val="both"/>
        <w:rPr>
          <w:rFonts w:hint="eastAsia" w:eastAsia="黑体" w:cs="宋体" w:asciiTheme="majorHAnsi" w:hAnsiTheme="majorHAnsi"/>
          <w:sz w:val="20"/>
          <w:szCs w:val="20"/>
          <w:lang w:val="en-US" w:eastAsia="zh-CN"/>
        </w:rPr>
      </w:pPr>
    </w:p>
    <w:p>
      <w:pPr>
        <w:ind w:left="0" w:leftChars="0" w:firstLine="0" w:firstLineChars="0"/>
        <w:jc w:val="both"/>
        <w:rPr>
          <w:rFonts w:hint="eastAsia" w:eastAsia="黑体" w:cs="宋体" w:asciiTheme="majorHAnsi" w:hAnsiTheme="majorHAnsi"/>
          <w:sz w:val="20"/>
          <w:szCs w:val="20"/>
          <w:lang w:val="en-US" w:eastAsia="zh-CN"/>
        </w:rPr>
      </w:pPr>
      <w:r>
        <w:rPr>
          <w:rFonts w:hint="eastAsia" w:eastAsia="黑体" w:cs="宋体" w:asciiTheme="majorHAnsi" w:hAnsiTheme="majorHAnsi"/>
          <w:sz w:val="20"/>
          <w:szCs w:val="20"/>
          <w:lang w:val="en-US" w:eastAsia="zh-CN"/>
        </w:rPr>
        <w:t>来源：中国知网</w:t>
      </w:r>
      <w:bookmarkStart w:id="2" w:name="_Ref7484"/>
    </w:p>
    <w:p>
      <w:pPr>
        <w:pStyle w:val="4"/>
        <w:bidi w:val="0"/>
        <w:rPr>
          <w:rFonts w:hint="eastAsia"/>
          <w:lang w:val="en-US" w:eastAsia="zh-CN"/>
        </w:rPr>
      </w:pPr>
      <w:bookmarkStart w:id="3" w:name="_Ref7682"/>
      <w:r>
        <w:rPr>
          <w:rFonts w:hint="eastAsia"/>
          <w:lang w:val="en-US" w:eastAsia="zh-CN"/>
        </w:rPr>
        <w:t xml:space="preserve">图 </w:t>
      </w:r>
      <w:r>
        <w:rPr>
          <w:rFonts w:hint="eastAsia"/>
          <w:lang w:val="en-US" w:eastAsia="zh-CN"/>
        </w:rPr>
        <w:fldChar w:fldCharType="begin"/>
      </w:r>
      <w:r>
        <w:rPr>
          <w:rFonts w:hint="eastAsia"/>
          <w:lang w:val="en-US" w:eastAsia="zh-CN"/>
        </w:rPr>
        <w:instrText xml:space="preserve"> SEQ 图 \* ARABIC </w:instrText>
      </w:r>
      <w:r>
        <w:rPr>
          <w:rFonts w:hint="eastAsia"/>
          <w:lang w:val="en-US" w:eastAsia="zh-CN"/>
        </w:rPr>
        <w:fldChar w:fldCharType="separate"/>
      </w:r>
      <w:r>
        <w:rPr>
          <w:rFonts w:hint="eastAsia"/>
          <w:lang w:val="en-US" w:eastAsia="zh-CN"/>
        </w:rPr>
        <w:t>1</w:t>
      </w:r>
      <w:r>
        <w:rPr>
          <w:rFonts w:hint="eastAsia"/>
          <w:lang w:val="en-US" w:eastAsia="zh-CN"/>
        </w:rPr>
        <w:fldChar w:fldCharType="end"/>
      </w:r>
      <w:bookmarkEnd w:id="2"/>
      <w:bookmarkEnd w:id="3"/>
      <w:r>
        <w:rPr>
          <w:rFonts w:hint="eastAsia"/>
          <w:lang w:val="en-US" w:eastAsia="zh-CN"/>
        </w:rPr>
        <w:t xml:space="preserve"> 国内文献发表年度趋势</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lang w:val="en-US" w:eastAsia="zh-CN"/>
        </w:rPr>
      </w:pPr>
      <w:r>
        <w:rPr>
          <w:rFonts w:hint="eastAsia"/>
          <w:lang w:val="en-US" w:eastAsia="zh-CN"/>
        </w:rPr>
        <w:t>国内关于“大学生就业”相关文献发文趋势如</w:t>
      </w:r>
      <w:r>
        <w:rPr>
          <w:rFonts w:hint="eastAsia"/>
          <w:lang w:val="en-US" w:eastAsia="zh-CN"/>
        </w:rPr>
        <w:fldChar w:fldCharType="begin"/>
      </w:r>
      <w:r>
        <w:rPr>
          <w:rFonts w:hint="eastAsia"/>
          <w:lang w:val="en-US" w:eastAsia="zh-CN"/>
        </w:rPr>
        <w:instrText xml:space="preserve"> REF _Ref7682 \h </w:instrText>
      </w:r>
      <w:r>
        <w:rPr>
          <w:rFonts w:hint="eastAsia"/>
          <w:lang w:val="en-US" w:eastAsia="zh-CN"/>
        </w:rPr>
        <w:fldChar w:fldCharType="separate"/>
      </w:r>
      <w:r>
        <w:rPr>
          <w:rFonts w:hint="eastAsia"/>
          <w:lang w:val="en-US" w:eastAsia="zh-CN"/>
        </w:rPr>
        <w:t>图图</w:t>
      </w:r>
      <w:r>
        <w:rPr>
          <w:rFonts w:hint="eastAsia"/>
          <w:lang w:val="en-US" w:eastAsia="zh-CN"/>
        </w:rPr>
        <w:fldChar w:fldCharType="end"/>
      </w:r>
      <w:r>
        <w:rPr>
          <w:rFonts w:hint="eastAsia"/>
          <w:lang w:val="en-US" w:eastAsia="zh-CN"/>
        </w:rPr>
        <w:t>1所示。2010年，我国创业教育指导委员会宣布成立，使得创新创业教育朝着专业化的方向发展；2021年10月，国务院办公厅印发《关于进一步支持大学生就业创业的指导意见》,进一步推动支持大学生提升创新创业；2022年12月，教育部实施“2023届全国普通高校毕业生就业创业促进行动”，在政策导向的引领下，该研究领域热度不断攀升。</w:t>
      </w:r>
    </w:p>
    <w:p>
      <w:pPr>
        <w:ind w:left="0" w:leftChars="0" w:firstLine="0" w:firstLineChars="0"/>
        <w:jc w:val="both"/>
        <w:rPr>
          <w:rFonts w:hint="eastAsia"/>
          <w:highlight w:val="red"/>
          <w:lang w:val="en-US" w:eastAsia="zh-CN"/>
        </w:rPr>
      </w:pPr>
    </w:p>
    <w:p>
      <w:pPr>
        <w:ind w:left="0" w:leftChars="0" w:firstLine="0" w:firstLineChars="0"/>
        <w:jc w:val="center"/>
        <w:rPr>
          <w:rFonts w:hint="eastAsia" w:eastAsia="宋体"/>
          <w:highlight w:val="red"/>
          <w:lang w:val="en-US" w:eastAsia="zh-CN"/>
        </w:rPr>
      </w:pPr>
      <w:r>
        <w:drawing>
          <wp:inline distT="0" distB="0" distL="114300" distR="114300">
            <wp:extent cx="4420235" cy="2160270"/>
            <wp:effectExtent l="0" t="0" r="14605" b="381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9"/>
                    <a:stretch>
                      <a:fillRect/>
                    </a:stretch>
                  </pic:blipFill>
                  <pic:spPr>
                    <a:xfrm>
                      <a:off x="0" y="0"/>
                      <a:ext cx="4420235" cy="2160270"/>
                    </a:xfrm>
                    <a:prstGeom prst="rect">
                      <a:avLst/>
                    </a:prstGeom>
                    <a:noFill/>
                    <a:ln>
                      <a:noFill/>
                    </a:ln>
                  </pic:spPr>
                </pic:pic>
              </a:graphicData>
            </a:graphic>
          </wp:inline>
        </w:drawing>
      </w:r>
    </w:p>
    <w:p>
      <w:pPr>
        <w:ind w:firstLine="400"/>
        <w:jc w:val="both"/>
        <w:rPr>
          <w:rFonts w:hint="default" w:ascii="Times New Roman" w:hAnsi="Times New Roman" w:eastAsia="黑体" w:cs="Times New Roman"/>
          <w:sz w:val="20"/>
          <w:szCs w:val="20"/>
          <w:lang w:val="en-US"/>
        </w:rPr>
      </w:pPr>
      <w:r>
        <w:rPr>
          <w:rFonts w:hint="eastAsia" w:eastAsia="黑体" w:cs="宋体" w:asciiTheme="majorHAnsi" w:hAnsiTheme="majorHAnsi"/>
          <w:sz w:val="20"/>
          <w:szCs w:val="20"/>
          <w:lang w:val="en-US" w:eastAsia="zh-CN"/>
        </w:rPr>
        <w:t>来源：</w:t>
      </w:r>
      <w:r>
        <w:rPr>
          <w:rFonts w:hint="default" w:ascii="Times New Roman" w:hAnsi="Times New Roman" w:eastAsia="黑体" w:cs="Times New Roman"/>
          <w:sz w:val="20"/>
          <w:szCs w:val="20"/>
          <w:lang w:val="en-US" w:eastAsia="zh-CN"/>
        </w:rPr>
        <w:t>Web of Science</w:t>
      </w:r>
    </w:p>
    <w:p>
      <w:pPr>
        <w:pStyle w:val="4"/>
        <w:bidi w:val="0"/>
        <w:rPr>
          <w:rFonts w:hint="eastAsia"/>
          <w:lang w:val="en-US"/>
        </w:rPr>
      </w:pPr>
      <w:bookmarkStart w:id="4" w:name="_Ref8938"/>
      <w:r>
        <w:rPr>
          <w:rFonts w:hint="eastAsia"/>
          <w:lang w:val="en-US" w:eastAsia="zh-CN"/>
        </w:rPr>
        <w:t xml:space="preserve">图 </w:t>
      </w:r>
      <w:r>
        <w:rPr>
          <w:rFonts w:hint="eastAsia"/>
          <w:lang w:val="en-US" w:eastAsia="zh-CN"/>
        </w:rPr>
        <w:fldChar w:fldCharType="begin"/>
      </w:r>
      <w:r>
        <w:rPr>
          <w:rFonts w:hint="eastAsia"/>
          <w:lang w:val="en-US" w:eastAsia="zh-CN"/>
        </w:rPr>
        <w:instrText xml:space="preserve"> SEQ 图 \* ARABIC </w:instrText>
      </w:r>
      <w:r>
        <w:rPr>
          <w:rFonts w:hint="eastAsia"/>
          <w:lang w:val="en-US" w:eastAsia="zh-CN"/>
        </w:rPr>
        <w:fldChar w:fldCharType="separate"/>
      </w:r>
      <w:r>
        <w:rPr>
          <w:rFonts w:hint="eastAsia"/>
          <w:lang w:val="en-US" w:eastAsia="zh-CN"/>
        </w:rPr>
        <w:t>2</w:t>
      </w:r>
      <w:r>
        <w:rPr>
          <w:rFonts w:hint="eastAsia"/>
          <w:lang w:val="en-US" w:eastAsia="zh-CN"/>
        </w:rPr>
        <w:fldChar w:fldCharType="end"/>
      </w:r>
      <w:bookmarkEnd w:id="4"/>
      <w:r>
        <w:rPr>
          <w:rFonts w:hint="eastAsia"/>
          <w:lang w:val="en-US" w:eastAsia="zh-CN"/>
        </w:rPr>
        <w:t>国外文献发表年度趋势</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lang w:val="en-US" w:eastAsia="zh-CN"/>
        </w:rPr>
      </w:pPr>
      <w:r>
        <w:rPr>
          <w:rFonts w:hint="eastAsia"/>
          <w:lang w:val="en-US" w:eastAsia="zh-CN"/>
        </w:rPr>
        <w:t>由于部分年度数据缺失，我们选取了2012至今的国外“大学生就业”相关文献发文趋势如图，由图可知随着高等教育的快速发展，越来越多的大学生面临毕业后找不到工作的困难，基于这一问题广大学者对于大学生就业问题的关注度越来越高。</w:t>
      </w:r>
    </w:p>
    <w:p>
      <w:pPr>
        <w:pStyle w:val="11"/>
        <w:bidi w:val="0"/>
        <w:rPr>
          <w:rFonts w:hint="default"/>
        </w:rPr>
      </w:pPr>
      <w:r>
        <w:rPr>
          <w:rFonts w:hint="default"/>
        </w:rPr>
        <w:t>3.1.2国内外研究主题</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eastAsia="宋体"/>
          <w:lang w:eastAsia="zh-CN"/>
        </w:rPr>
      </w:pPr>
      <w:bookmarkStart w:id="5" w:name="_Ref29641"/>
      <w:r>
        <w:rPr>
          <w:rFonts w:hint="eastAsia" w:eastAsia="宋体"/>
          <w:lang w:eastAsia="zh-CN"/>
        </w:rPr>
        <w:drawing>
          <wp:inline distT="0" distB="0" distL="114300" distR="114300">
            <wp:extent cx="3475355" cy="2493645"/>
            <wp:effectExtent l="0" t="0" r="14605" b="5715"/>
            <wp:docPr id="14" name="图片 14" descr="屏幕截图 2024-05-19 09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屏幕截图 2024-05-19 093645"/>
                    <pic:cNvPicPr>
                      <a:picLocks noChangeAspect="1"/>
                    </pic:cNvPicPr>
                  </pic:nvPicPr>
                  <pic:blipFill>
                    <a:blip r:embed="rId10"/>
                    <a:stretch>
                      <a:fillRect/>
                    </a:stretch>
                  </pic:blipFill>
                  <pic:spPr>
                    <a:xfrm>
                      <a:off x="0" y="0"/>
                      <a:ext cx="3475355" cy="2493645"/>
                    </a:xfrm>
                    <a:prstGeom prst="rect">
                      <a:avLst/>
                    </a:prstGeom>
                  </pic:spPr>
                </pic:pic>
              </a:graphicData>
            </a:graphic>
          </wp:inline>
        </w:drawing>
      </w:r>
    </w:p>
    <w:p>
      <w:pPr>
        <w:pStyle w:val="4"/>
        <w:bidi w:val="0"/>
        <w:rPr>
          <w:rFonts w:hint="eastAsia" w:eastAsia="宋体"/>
          <w:lang w:eastAsia="zh-CN"/>
        </w:rPr>
      </w:pPr>
      <w:r>
        <w:rPr>
          <w:rFonts w:hint="eastAsia"/>
          <w:lang w:val="en-US" w:eastAsia="zh-CN"/>
        </w:rPr>
        <w:t xml:space="preserve">图 </w:t>
      </w:r>
      <w:r>
        <w:rPr>
          <w:rFonts w:hint="eastAsia"/>
          <w:lang w:val="en-US" w:eastAsia="zh-CN"/>
        </w:rPr>
        <w:fldChar w:fldCharType="begin"/>
      </w:r>
      <w:r>
        <w:rPr>
          <w:rFonts w:hint="eastAsia"/>
          <w:lang w:val="en-US" w:eastAsia="zh-CN"/>
        </w:rPr>
        <w:instrText xml:space="preserve"> SEQ 图 \* ARABIC </w:instrText>
      </w:r>
      <w:r>
        <w:rPr>
          <w:rFonts w:hint="eastAsia"/>
          <w:lang w:val="en-US" w:eastAsia="zh-CN"/>
        </w:rPr>
        <w:fldChar w:fldCharType="separate"/>
      </w:r>
      <w:r>
        <w:rPr>
          <w:rFonts w:hint="eastAsia"/>
          <w:lang w:val="en-US" w:eastAsia="zh-CN"/>
        </w:rPr>
        <w:t>3</w:t>
      </w:r>
      <w:r>
        <w:rPr>
          <w:rFonts w:hint="eastAsia"/>
          <w:lang w:val="en-US" w:eastAsia="zh-CN"/>
        </w:rPr>
        <w:fldChar w:fldCharType="end"/>
      </w:r>
      <w:r>
        <w:rPr>
          <w:rFonts w:hint="eastAsia"/>
          <w:lang w:val="en-US" w:eastAsia="zh-CN"/>
        </w:rPr>
        <w:t>国内大学生就业相关文献关键词聚类图谱</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eastAsia="宋体"/>
          <w:lang w:eastAsia="zh-CN"/>
        </w:rPr>
      </w:pPr>
      <w:r>
        <w:rPr>
          <w:rFonts w:hint="eastAsia"/>
          <w:lang w:val="en-US" w:eastAsia="zh-CN"/>
        </w:rPr>
        <w:t>图3为国内大学生就业相关文献关键词聚类图谱，本文通过选用中国知网的数据，作为本文文献计量的数据来源。778个关键词中出现频次不少于5次的41个关键词形成了多个聚类，表明其在大学生就业主要涉及大学生、创新创业教育、就业创业、创新创业这4个主题。</w:t>
      </w:r>
    </w:p>
    <w:bookmarkEnd w:id="5"/>
    <w:p>
      <w:pPr>
        <w:keepNext/>
        <w:ind w:left="0" w:leftChars="0" w:firstLine="0" w:firstLineChars="0"/>
        <w:jc w:val="center"/>
        <w:rPr>
          <w:rFonts w:hint="eastAsia" w:eastAsia="宋体" w:cs="宋体"/>
          <w:sz w:val="36"/>
          <w:szCs w:val="32"/>
          <w:highlight w:val="red"/>
          <w:lang w:val="en-US" w:eastAsia="zh-CN"/>
        </w:rPr>
      </w:pPr>
      <w:r>
        <w:drawing>
          <wp:inline distT="0" distB="0" distL="114300" distR="114300">
            <wp:extent cx="5257800" cy="93916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rcRect t="38351" b="35702"/>
                    <a:stretch>
                      <a:fillRect/>
                    </a:stretch>
                  </pic:blipFill>
                  <pic:spPr>
                    <a:xfrm>
                      <a:off x="0" y="0"/>
                      <a:ext cx="5257800" cy="939165"/>
                    </a:xfrm>
                    <a:prstGeom prst="rect">
                      <a:avLst/>
                    </a:prstGeom>
                    <a:noFill/>
                    <a:ln>
                      <a:noFill/>
                    </a:ln>
                  </pic:spPr>
                </pic:pic>
              </a:graphicData>
            </a:graphic>
          </wp:inline>
        </w:drawing>
      </w:r>
    </w:p>
    <w:p>
      <w:pPr>
        <w:pStyle w:val="4"/>
        <w:rPr>
          <w:rFonts w:hint="eastAsia" w:cs="宋体"/>
        </w:rPr>
      </w:pPr>
      <w:bookmarkStart w:id="6" w:name="_Ref3564"/>
      <w:r>
        <w:t xml:space="preserve">图 </w:t>
      </w:r>
      <w:r>
        <w:fldChar w:fldCharType="begin"/>
      </w:r>
      <w:r>
        <w:instrText xml:space="preserve"> SEQ 图 \* ARABIC </w:instrText>
      </w:r>
      <w:r>
        <w:fldChar w:fldCharType="separate"/>
      </w:r>
      <w:r>
        <w:t>4</w:t>
      </w:r>
      <w:r>
        <w:fldChar w:fldCharType="end"/>
      </w:r>
      <w:bookmarkEnd w:id="6"/>
      <w:r>
        <w:rPr>
          <w:rFonts w:hint="eastAsia"/>
          <w:lang w:val="en-US" w:eastAsia="zh-CN"/>
        </w:rPr>
        <w:t xml:space="preserve"> </w:t>
      </w:r>
      <w:r>
        <w:rPr>
          <w:rFonts w:hint="eastAsia"/>
        </w:rPr>
        <w:t>国外</w:t>
      </w:r>
      <w:r>
        <w:rPr>
          <w:rFonts w:hint="eastAsia" w:cs="宋体"/>
          <w:lang w:val="en-US" w:eastAsia="zh-CN"/>
        </w:rPr>
        <w:t>大学生就业</w:t>
      </w:r>
      <w:r>
        <w:rPr>
          <w:rFonts w:hint="eastAsia" w:cs="宋体"/>
        </w:rPr>
        <w:t>相关文献关键词聚类图谱</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pPr>
      <w:r>
        <w:rPr>
          <w:rFonts w:hint="eastAsia"/>
          <w:lang w:val="en-US" w:eastAsia="zh-CN"/>
        </w:rPr>
        <w:t>本文数据来源于</w:t>
      </w:r>
      <w:r>
        <w:rPr>
          <w:rFonts w:hint="default"/>
          <w:lang w:val="en-US" w:eastAsia="zh-CN"/>
        </w:rPr>
        <w:t>Web of Science</w:t>
      </w:r>
      <w:r>
        <w:rPr>
          <w:rFonts w:hint="eastAsia"/>
          <w:lang w:val="en-US" w:eastAsia="zh-CN"/>
        </w:rPr>
        <w:t>，通过关键词可以集中体现文献的核心研究内容以及观点，通过关键词网络图谱可揭示employment领域的研究重点及热点。在合并同类关键词后，通过 VOSviewer 软件对近几年大学生就业相关文献关键词进行分析，得到了关键词网络图谱和时间聚类图谱如</w:t>
      </w:r>
      <w:r>
        <w:rPr>
          <w:rFonts w:hint="eastAsia"/>
          <w:lang w:val="en-US" w:eastAsia="zh-CN"/>
        </w:rPr>
        <w:fldChar w:fldCharType="begin"/>
      </w:r>
      <w:r>
        <w:rPr>
          <w:rFonts w:hint="eastAsia"/>
          <w:lang w:val="en-US" w:eastAsia="zh-CN"/>
        </w:rPr>
        <w:instrText xml:space="preserve"> REF _Ref3564 \h </w:instrText>
      </w:r>
      <w:r>
        <w:rPr>
          <w:rFonts w:hint="eastAsia"/>
          <w:lang w:val="en-US" w:eastAsia="zh-CN"/>
        </w:rPr>
        <w:fldChar w:fldCharType="separate"/>
      </w:r>
      <w:r>
        <w:rPr>
          <w:rFonts w:hint="eastAsia"/>
          <w:lang w:val="en-US" w:eastAsia="zh-CN"/>
        </w:rPr>
        <w:t>图 4</w:t>
      </w:r>
      <w:r>
        <w:rPr>
          <w:rFonts w:hint="eastAsia"/>
          <w:lang w:val="en-US" w:eastAsia="zh-CN"/>
        </w:rPr>
        <w:fldChar w:fldCharType="end"/>
      </w:r>
      <w:r>
        <w:rPr>
          <w:rFonts w:hint="eastAsia"/>
          <w:lang w:val="en-US" w:eastAsia="zh-CN"/>
        </w:rPr>
        <w:t>所示。</w:t>
      </w:r>
    </w:p>
    <w:p>
      <w:pPr>
        <w:pStyle w:val="11"/>
        <w:bidi w:val="0"/>
        <w:rPr>
          <w:rFonts w:hint="default"/>
          <w:lang w:val="en-US" w:eastAsia="zh-CN"/>
        </w:rPr>
      </w:pPr>
      <w:r>
        <w:rPr>
          <w:rFonts w:hint="eastAsia"/>
          <w:lang w:val="en-US" w:eastAsia="zh-CN"/>
        </w:rPr>
        <w:t>3.1.3高校毕业生人数</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276" w:lineRule="auto"/>
        <w:ind w:left="0" w:leftChars="0" w:right="0" w:firstLine="480" w:firstLineChars="200"/>
        <w:jc w:val="left"/>
        <w:textAlignment w:val="auto"/>
        <w:rPr>
          <w:rFonts w:hint="eastAsia" w:eastAsiaTheme="minorEastAsia"/>
          <w:lang w:eastAsia="zh-CN"/>
        </w:rPr>
      </w:pPr>
      <w:r>
        <w:rPr>
          <w:rFonts w:hint="default"/>
          <w:lang w:val="en-US" w:eastAsia="zh-CN"/>
        </w:rPr>
        <w:t>通过对我国近20年毕业生人数调查分析，得知我国高校毕业生人口基数大，且逐年增加，</w:t>
      </w:r>
      <w:r>
        <w:rPr>
          <w:rFonts w:hint="eastAsia"/>
          <w:lang w:val="en-US" w:eastAsia="zh-CN"/>
        </w:rPr>
        <w:t>反映了高等教育的普及。但这也带来了</w:t>
      </w:r>
      <w:r>
        <w:rPr>
          <w:rFonts w:hint="default"/>
          <w:lang w:val="en-US" w:eastAsia="zh-CN"/>
        </w:rPr>
        <w:t>就业市场竞争压力不断大</w:t>
      </w:r>
      <w:r>
        <w:rPr>
          <w:rFonts w:hint="eastAsia"/>
          <w:lang w:val="en-US" w:eastAsia="zh-CN"/>
        </w:rPr>
        <w:t>，大学生就业面临着许多挑战</w:t>
      </w:r>
      <w:r>
        <w:rPr>
          <w:rFonts w:hint="default"/>
          <w:lang w:val="en-US" w:eastAsia="zh-CN"/>
        </w:rPr>
        <w:t>。人数趋势如表1所示。</w:t>
      </w:r>
      <w:r>
        <w:rPr>
          <w:rFonts w:hint="eastAsia" w:eastAsiaTheme="minorEastAsia"/>
          <w:lang w:eastAsia="zh-CN"/>
        </w:rPr>
        <w:drawing>
          <wp:inline distT="0" distB="0" distL="114300" distR="114300">
            <wp:extent cx="5347970" cy="2192020"/>
            <wp:effectExtent l="5080" t="4445" r="11430" b="43815"/>
            <wp:docPr id="6" name="图表 6" descr="7b0a202020202263686172745265734964223a202232303437363136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left="0" w:leftChars="0" w:firstLine="0" w:firstLineChars="0"/>
        <w:jc w:val="both"/>
        <w:rPr>
          <w:rFonts w:hint="eastAsia" w:eastAsiaTheme="minorEastAsia"/>
          <w:lang w:eastAsia="zh-CN"/>
        </w:rPr>
      </w:pPr>
      <w:r>
        <w:rPr>
          <w:rFonts w:hint="eastAsia" w:eastAsia="黑体" w:cs="宋体" w:asciiTheme="majorHAnsi" w:hAnsiTheme="majorHAnsi"/>
          <w:sz w:val="20"/>
          <w:szCs w:val="20"/>
          <w:lang w:val="en-US" w:eastAsia="zh-CN"/>
        </w:rPr>
        <w:t>来源：国家统计局</w:t>
      </w:r>
    </w:p>
    <w:p>
      <w:pPr>
        <w:pStyle w:val="4"/>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276" w:lineRule="auto"/>
        <w:ind w:left="0" w:leftChars="0" w:right="0" w:firstLine="400" w:firstLineChars="200"/>
        <w:jc w:val="center"/>
        <w:textAlignment w:val="auto"/>
        <w:rPr>
          <w:rFonts w:hint="default" w:eastAsia="黑体"/>
          <w:lang w:val="en-US" w:eastAsia="zh-CN"/>
        </w:rPr>
      </w:pPr>
      <w:r>
        <w:t xml:space="preserve">图 </w:t>
      </w:r>
      <w:r>
        <w:fldChar w:fldCharType="begin"/>
      </w:r>
      <w:r>
        <w:instrText xml:space="preserve"> SEQ 图 \* ARABIC </w:instrText>
      </w:r>
      <w:r>
        <w:fldChar w:fldCharType="separate"/>
      </w:r>
      <w:r>
        <w:t>5</w:t>
      </w:r>
      <w:r>
        <w:fldChar w:fldCharType="end"/>
      </w:r>
      <w:r>
        <w:rPr>
          <w:rFonts w:hint="eastAsia"/>
          <w:lang w:val="en-US" w:eastAsia="zh-CN"/>
        </w:rPr>
        <w:t>近20年高校毕业人数</w:t>
      </w:r>
    </w:p>
    <w:p>
      <w:pPr>
        <w:pStyle w:val="11"/>
        <w:bidi w:val="0"/>
        <w:rPr>
          <w:rFonts w:hint="default"/>
          <w:lang w:val="en-US" w:eastAsia="zh-CN"/>
        </w:rPr>
      </w:pPr>
      <w:r>
        <w:rPr>
          <w:rFonts w:hint="eastAsia"/>
          <w:highlight w:val="red"/>
          <w:lang w:val="en-US" w:eastAsia="zh-CN"/>
        </w:rPr>
        <w:t>3.1.4毕业生就业率的学科分析</w:t>
      </w:r>
    </w:p>
    <w:p>
      <w:pPr>
        <w:pStyle w:val="11"/>
        <w:bidi w:val="0"/>
        <w:rPr>
          <w:rFonts w:hint="eastAsia"/>
          <w:lang w:val="en-US" w:eastAsia="zh-CN"/>
        </w:rPr>
      </w:pPr>
      <w:r>
        <w:rPr>
          <w:rFonts w:hint="eastAsia"/>
          <w:lang w:val="en-US" w:eastAsia="zh-CN"/>
        </w:rPr>
        <w:t>3.2大学生就业的多元机遇</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lang w:val="en-US" w:eastAsia="zh-CN"/>
        </w:rPr>
      </w:pPr>
      <w:r>
        <w:rPr>
          <w:rFonts w:hint="eastAsia"/>
          <w:lang w:val="en-US" w:eastAsia="zh-CN"/>
        </w:rPr>
        <w:t>在当今时代，就业领域正在经历深刻的变革，新兴技术和新型经济形态塑造了全新的就业趋势。在多元化和全球化的就业环境中，大学生应紧跟时代潮流，跨学科学习，灵活适应新工作模式。</w:t>
      </w:r>
    </w:p>
    <w:p>
      <w:pPr>
        <w:pStyle w:val="11"/>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sz w:val="24"/>
          <w:szCs w:val="24"/>
          <w:lang w:val="en-US" w:eastAsia="zh-CN"/>
        </w:rPr>
      </w:pPr>
      <w:r>
        <w:rPr>
          <w:rFonts w:hint="eastAsia"/>
          <w:sz w:val="24"/>
          <w:szCs w:val="24"/>
          <w:lang w:val="en-US" w:eastAsia="zh-CN"/>
        </w:rPr>
        <w:t>（一）智能化与自动化驱动新职业需求</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lang w:val="en-US" w:eastAsia="zh-CN"/>
        </w:rPr>
      </w:pPr>
      <w:r>
        <w:rPr>
          <w:rFonts w:hint="default"/>
          <w:lang w:val="en-US" w:eastAsia="zh-CN"/>
        </w:rPr>
        <w:t>随着</w:t>
      </w:r>
      <w:r>
        <w:rPr>
          <w:rFonts w:hint="eastAsia"/>
          <w:lang w:val="en-US" w:eastAsia="zh-CN"/>
        </w:rPr>
        <w:t>科技</w:t>
      </w:r>
      <w:r>
        <w:rPr>
          <w:rFonts w:hint="default"/>
          <w:lang w:val="en-US" w:eastAsia="zh-CN"/>
        </w:rPr>
        <w:t>时代的演进，新兴技术的蓬勃发展成为塑造未来就业趋势的重要推动力</w:t>
      </w:r>
      <w:r>
        <w:rPr>
          <w:rFonts w:hint="eastAsia"/>
          <w:lang w:val="en-US" w:eastAsia="zh-CN"/>
        </w:rPr>
        <w:t>，</w:t>
      </w:r>
      <w:r>
        <w:rPr>
          <w:rFonts w:hint="default"/>
          <w:lang w:val="en-US" w:eastAsia="zh-CN"/>
        </w:rPr>
        <w:t>引发了对新型职业的巨大需求。高校大学生需要积极适应这些新兴技术，培养与这些技术相匹配的技能，以更好地迎接未来职场的挑战。</w:t>
      </w:r>
    </w:p>
    <w:p>
      <w:pPr>
        <w:pStyle w:val="11"/>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sz w:val="24"/>
          <w:szCs w:val="24"/>
          <w:lang w:val="en-US" w:eastAsia="zh-CN"/>
        </w:rPr>
      </w:pPr>
      <w:r>
        <w:rPr>
          <w:rFonts w:hint="eastAsia"/>
          <w:sz w:val="24"/>
          <w:szCs w:val="24"/>
          <w:lang w:val="en-US" w:eastAsia="zh-CN"/>
        </w:rPr>
        <w:t>（二）平台经济崛起激发自主创业活力</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lang w:val="en-US" w:eastAsia="zh-CN"/>
        </w:rPr>
      </w:pPr>
      <w:r>
        <w:rPr>
          <w:rFonts w:hint="default"/>
          <w:lang w:val="en-US" w:eastAsia="zh-CN"/>
        </w:rPr>
        <w:t>平台经济已成为“互联网+”时代最引人注目的发展方向之一。从共享经济到社交媒体，平台经济为创业者提供了更为广阔的舞台，为大学生带来了前所未有的就业选择。在这一新趋势下，大学生就业不再局限于传统行业，而可以通过自主创业来实现个人职业梦想</w:t>
      </w:r>
      <w:r>
        <w:rPr>
          <w:rFonts w:hint="eastAsia"/>
          <w:lang w:val="en-US" w:eastAsia="zh-CN"/>
        </w:rPr>
        <w:t>。</w:t>
      </w:r>
      <w:r>
        <w:rPr>
          <w:rFonts w:hint="default"/>
          <w:lang w:val="en-US" w:eastAsia="zh-CN"/>
        </w:rPr>
        <w:t>互联网平台为创业者提供了低成本、高效益的创业环境。大学生可以通过各种平台实现更为灵活和自主的创业。</w:t>
      </w:r>
    </w:p>
    <w:p>
      <w:pPr>
        <w:pStyle w:val="11"/>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sz w:val="24"/>
          <w:szCs w:val="24"/>
          <w:lang w:val="en-US" w:eastAsia="zh-CN"/>
        </w:rPr>
      </w:pPr>
      <w:r>
        <w:rPr>
          <w:rFonts w:hint="eastAsia"/>
          <w:sz w:val="24"/>
          <w:szCs w:val="24"/>
          <w:lang w:val="en-US" w:eastAsia="zh-CN"/>
        </w:rPr>
        <w:t>（三）远程办公与全球化视野</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default"/>
          <w:lang w:val="en-US" w:eastAsia="zh-CN"/>
        </w:rPr>
      </w:pPr>
      <w:r>
        <w:rPr>
          <w:rFonts w:hint="default"/>
          <w:lang w:val="en-US" w:eastAsia="zh-CN"/>
        </w:rPr>
        <w:t>随着信息技术的发展，远程办公成为</w:t>
      </w:r>
      <w:r>
        <w:rPr>
          <w:rFonts w:hint="eastAsia"/>
          <w:lang w:val="en-US" w:eastAsia="zh-CN"/>
        </w:rPr>
        <w:t>一种</w:t>
      </w:r>
      <w:r>
        <w:rPr>
          <w:rFonts w:hint="default"/>
          <w:lang w:val="en-US" w:eastAsia="zh-CN"/>
        </w:rPr>
        <w:t>新兴工作模式。这种模式使得大学生就业不再受限于地理位置，而可以拓展到全球范围。</w:t>
      </w:r>
      <w:r>
        <w:rPr>
          <w:rFonts w:hint="eastAsia"/>
          <w:lang w:val="en-US" w:eastAsia="zh-CN"/>
        </w:rPr>
        <w:t>它</w:t>
      </w:r>
      <w:r>
        <w:rPr>
          <w:rFonts w:hint="default"/>
          <w:lang w:val="en-US" w:eastAsia="zh-CN"/>
        </w:rPr>
        <w:t>不仅提供了更灵活的工作方式，也为大学生开阔了就业视野。大学生可以通过远程办公，加入国际化的团队，参与跨国项目，提高自己的国际竞争力。</w:t>
      </w:r>
    </w:p>
    <w:p>
      <w:pPr>
        <w:pStyle w:val="11"/>
        <w:bidi w:val="0"/>
        <w:rPr>
          <w:rFonts w:hint="eastAsia"/>
          <w:lang w:val="en-US" w:eastAsia="zh-CN"/>
        </w:rPr>
      </w:pPr>
      <w:r>
        <w:rPr>
          <w:rFonts w:hint="eastAsia"/>
          <w:lang w:val="en-US" w:eastAsia="zh-CN"/>
        </w:rPr>
        <w:t>3.3大学生就业的现实挑战</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lang w:val="en-US" w:eastAsia="zh-CN"/>
        </w:rPr>
      </w:pPr>
      <w:r>
        <w:rPr>
          <w:rFonts w:hint="eastAsia"/>
          <w:lang w:val="en-US" w:eastAsia="zh-CN"/>
        </w:rPr>
        <w:t>在就业市场日益严峻的今天，大学生们面临着一系列复杂而现实的挑战。从就业竞争的加剧到技能要求的提高，他们在追求职业发展的道路上必须克服重重障碍。</w:t>
      </w:r>
    </w:p>
    <w:p>
      <w:pPr>
        <w:pStyle w:val="11"/>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sz w:val="24"/>
          <w:szCs w:val="24"/>
          <w:lang w:val="en-US" w:eastAsia="zh-CN"/>
        </w:rPr>
      </w:pPr>
      <w:r>
        <w:rPr>
          <w:rFonts w:hint="eastAsia"/>
          <w:sz w:val="24"/>
          <w:szCs w:val="24"/>
          <w:lang w:val="en-US" w:eastAsia="zh-CN"/>
        </w:rPr>
        <w:t>（一）大学生蹲考族现象</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276" w:lineRule="auto"/>
        <w:ind w:left="0" w:leftChars="0" w:right="0" w:firstLine="480" w:firstLineChars="200"/>
        <w:jc w:val="left"/>
        <w:textAlignment w:val="auto"/>
        <w:rPr>
          <w:rFonts w:hint="eastAsia"/>
          <w:lang w:val="en-US" w:eastAsia="zh-CN"/>
        </w:rPr>
      </w:pPr>
      <w:r>
        <w:rPr>
          <w:rFonts w:hint="default"/>
          <w:lang w:val="en-US" w:eastAsia="zh-CN"/>
        </w:rPr>
        <w:t>近年来，由于经济发展和就业机会增速减缓，大学生就业形势日益严峻，在此背景下，</w:t>
      </w:r>
      <w:r>
        <w:rPr>
          <w:rFonts w:hint="eastAsia"/>
          <w:lang w:val="en-US" w:eastAsia="zh-CN"/>
        </w:rPr>
        <w:t>有部分</w:t>
      </w:r>
      <w:r>
        <w:rPr>
          <w:rFonts w:hint="default"/>
          <w:lang w:val="en-US" w:eastAsia="zh-CN"/>
        </w:rPr>
        <w:t>大学生在毕业后并未选择就业，而是蹲在家里准备各种考试</w:t>
      </w:r>
      <w:r>
        <w:rPr>
          <w:rFonts w:hint="eastAsia"/>
          <w:lang w:val="en-US" w:eastAsia="zh-CN"/>
        </w:rPr>
        <w:t>。社会上将其称为大学生“蹲考族”。根据麦可思研究院发布的《2022中国大学生就业报告》显示，在应届本科生未就业群体中，继续准备国内考研的比例连续上升，从 2017 届的 2.2% 逐年上升至 2021 届的 6.1%，并且2021 届正在准备考研的毕业生中，有八成并非首次参加</w:t>
      </w:r>
      <w:r>
        <w:rPr>
          <w:rFonts w:hint="eastAsia"/>
          <w:vertAlign w:val="superscript"/>
          <w:lang w:val="en-US" w:eastAsia="zh-CN"/>
        </w:rPr>
        <w:t>[1]</w:t>
      </w:r>
      <w:r>
        <w:rPr>
          <w:rFonts w:hint="eastAsia"/>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276" w:lineRule="auto"/>
        <w:ind w:left="0" w:leftChars="0" w:right="0" w:firstLine="480" w:firstLineChars="200"/>
        <w:jc w:val="left"/>
        <w:textAlignment w:val="auto"/>
        <w:rPr>
          <w:rFonts w:hint="eastAsia"/>
          <w:lang w:val="en-US" w:eastAsia="zh-CN"/>
        </w:rPr>
      </w:pPr>
      <w:r>
        <w:rPr>
          <w:rFonts w:hint="default"/>
          <w:lang w:val="en-US" w:eastAsia="zh-CN"/>
        </w:rPr>
        <w:t>对于蹲考族来说“择业难”所导致的“就业难”是选择蹲考的重要原因，严峻的就业形势降低了蹲考的机会成本</w:t>
      </w:r>
      <w:r>
        <w:rPr>
          <w:rFonts w:hint="eastAsia"/>
          <w:lang w:val="en-US" w:eastAsia="zh-CN"/>
        </w:rPr>
        <w:t>，</w:t>
      </w:r>
      <w:r>
        <w:rPr>
          <w:rFonts w:hint="default"/>
          <w:lang w:val="en-US" w:eastAsia="zh-CN"/>
        </w:rPr>
        <w:t>“蹲考”是失业大学生基于预期收益最大化的理性选择，</w:t>
      </w:r>
      <w:r>
        <w:rPr>
          <w:rFonts w:hint="eastAsia"/>
          <w:lang w:val="en-US" w:eastAsia="zh-CN"/>
        </w:rPr>
        <w:t>也</w:t>
      </w:r>
      <w:r>
        <w:rPr>
          <w:rFonts w:hint="default"/>
          <w:lang w:val="en-US" w:eastAsia="zh-CN"/>
        </w:rPr>
        <w:t>是一种人力资本投资行为</w:t>
      </w:r>
      <w:r>
        <w:rPr>
          <w:rFonts w:hint="eastAsia"/>
          <w:lang w:val="en-US" w:eastAsia="zh-CN"/>
        </w:rPr>
        <w:t>。</w:t>
      </w:r>
    </w:p>
    <w:p>
      <w:pPr>
        <w:pStyle w:val="11"/>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sz w:val="24"/>
          <w:szCs w:val="24"/>
          <w:lang w:val="en-US" w:eastAsia="zh-CN"/>
        </w:rPr>
      </w:pPr>
      <w:r>
        <w:rPr>
          <w:rFonts w:hint="eastAsia"/>
          <w:sz w:val="24"/>
          <w:szCs w:val="24"/>
          <w:lang w:val="en-US" w:eastAsia="zh-CN"/>
        </w:rPr>
        <w:t>（二）部分学科需要深造</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276" w:lineRule="auto"/>
        <w:ind w:left="0" w:leftChars="0" w:right="0" w:firstLine="480" w:firstLineChars="200"/>
        <w:jc w:val="left"/>
        <w:textAlignment w:val="auto"/>
        <w:rPr>
          <w:rFonts w:hint="default"/>
          <w:lang w:val="en-US" w:eastAsia="zh-CN"/>
        </w:rPr>
      </w:pPr>
      <w:r>
        <w:rPr>
          <w:rFonts w:hint="default"/>
          <w:lang w:val="en-US" w:eastAsia="zh-CN"/>
        </w:rPr>
        <w:t>根据《2023年中国本科生就业报告》的数据，应届本科生中，理、工、农、医类专业学生读研规模持续扩大。这些专业通常是需要更多专业知识和实践技能的，本科教育很难满足毕业生在工作中的需要，比如医学类专业的学生，需要学习的专业知识非常多，要想进入更好的医院工作，硕士甚至博士学历是前提条件。</w:t>
      </w:r>
    </w:p>
    <w:p>
      <w:pPr>
        <w:pStyle w:val="11"/>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sz w:val="24"/>
          <w:szCs w:val="24"/>
          <w:lang w:val="en-US" w:eastAsia="zh-CN"/>
        </w:rPr>
      </w:pPr>
      <w:r>
        <w:rPr>
          <w:rFonts w:hint="eastAsia"/>
          <w:sz w:val="24"/>
          <w:szCs w:val="24"/>
          <w:lang w:val="en-US" w:eastAsia="zh-CN"/>
        </w:rPr>
        <w:t>（三）传统招聘模式的淘汰</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default"/>
          <w:lang w:val="en-US" w:eastAsia="zh-CN"/>
        </w:rPr>
      </w:pPr>
      <w:r>
        <w:rPr>
          <w:rFonts w:hint="default"/>
          <w:lang w:val="en-US" w:eastAsia="zh-CN"/>
        </w:rPr>
        <w:t>时代</w:t>
      </w:r>
      <w:r>
        <w:rPr>
          <w:rFonts w:hint="eastAsia"/>
          <w:lang w:val="en-US" w:eastAsia="zh-CN"/>
        </w:rPr>
        <w:t>不断进步</w:t>
      </w:r>
      <w:r>
        <w:rPr>
          <w:rFonts w:hint="default"/>
          <w:lang w:val="en-US" w:eastAsia="zh-CN"/>
        </w:rPr>
        <w:t>，传统招聘模式正逐渐被淘汰，用人单位更倾向于通过互联网平台来寻找合适的人才。适应新的招聘环境是大学生面临的挑战之一。新招聘环境的形成也使得就业竞争更为激烈。</w:t>
      </w:r>
      <w:r>
        <w:rPr>
          <w:rFonts w:hint="eastAsia"/>
          <w:lang w:val="en-US" w:eastAsia="zh-CN"/>
        </w:rPr>
        <w:t>这要求大学生</w:t>
      </w:r>
      <w:r>
        <w:rPr>
          <w:rFonts w:hint="default"/>
          <w:lang w:val="en-US" w:eastAsia="zh-CN"/>
        </w:rPr>
        <w:t>在短时间内展现出更为出色的个人特质，并通过线上招聘平台展示自己的学术和实践成果。</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default"/>
          <w:highlight w:val="red"/>
          <w:lang w:val="en-US" w:eastAsia="zh-CN"/>
        </w:rPr>
      </w:pPr>
      <w:bookmarkStart w:id="7" w:name="_GoBack"/>
      <w:r>
        <w:rPr>
          <w:rFonts w:hint="eastAsia"/>
          <w:highlight w:val="red"/>
          <w:lang w:val="en-US" w:eastAsia="zh-CN"/>
        </w:rPr>
        <w:t>3.4对策建议</w:t>
      </w:r>
    </w:p>
    <w:bookmarkEnd w:id="7"/>
    <w:p>
      <w:pPr>
        <w:pStyle w:val="11"/>
        <w:spacing w:before="156" w:beforeLines="50" w:after="156" w:afterLines="50"/>
        <w:ind w:left="0" w:leftChars="0" w:firstLine="0" w:firstLineChars="0"/>
        <w:rPr>
          <w:rFonts w:hint="eastAsia"/>
        </w:rPr>
      </w:pPr>
      <w:r>
        <w:rPr>
          <w:rFonts w:hint="eastAsia"/>
        </w:rPr>
        <w:t xml:space="preserve">4结论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eastAsia="宋体"/>
          <w:lang w:eastAsia="zh-CN"/>
        </w:rPr>
      </w:pPr>
      <w:r>
        <w:rPr>
          <w:rFonts w:hint="eastAsia"/>
        </w:rPr>
        <w:t>目前，大学生毕业后的就业形势仍然严峻，许多大学生面临着“毕业即失业”的尴尬局面，这对于大学生乃至高等教育日后的发展都十分不利。鉴于此，高校必然要将就业指导模式的创新提上日程，加大对大学生创新创业能力培养的重视力度，从指导方法、教学环境、师资力量上寻求突破口，从根本上改变大学生就业指导工作现状，进而不断提升高校毕业生整体就业率，为国家经济的发展源源不断地输送人才</w:t>
      </w:r>
      <w:r>
        <w:rPr>
          <w:rFonts w:hint="eastAsia"/>
          <w:lang w:eastAsia="zh-CN"/>
        </w:rPr>
        <w:t>。</w:t>
      </w:r>
    </w:p>
    <w:p>
      <w:pPr>
        <w:pStyle w:val="11"/>
        <w:spacing w:before="156" w:beforeLines="50" w:after="156" w:afterLines="50"/>
        <w:ind w:firstLine="0" w:firstLineChars="0"/>
        <w:rPr>
          <w:rFonts w:hint="default"/>
        </w:rPr>
      </w:pPr>
      <w:r>
        <w:t>参考文献</w:t>
      </w:r>
    </w:p>
    <w:p>
      <w:pPr>
        <w:keepNext w:val="0"/>
        <w:keepLines w:val="0"/>
        <w:pageBreakBefore w:val="0"/>
        <w:widowControl w:val="0"/>
        <w:numPr>
          <w:ilvl w:val="0"/>
          <w:numId w:val="1"/>
        </w:numPr>
        <w:kinsoku/>
        <w:wordWrap w:val="0"/>
        <w:overflowPunct/>
        <w:topLinePunct w:val="0"/>
        <w:autoSpaceDE/>
        <w:autoSpaceDN/>
        <w:bidi w:val="0"/>
        <w:adjustRightInd/>
        <w:snapToGrid/>
        <w:ind w:left="0" w:leftChars="0" w:firstLine="0" w:firstLineChars="0"/>
        <w:textAlignment w:val="auto"/>
        <w:rPr>
          <w:rFonts w:hint="eastAsia"/>
          <w:sz w:val="21"/>
          <w:szCs w:val="21"/>
        </w:rPr>
      </w:pPr>
      <w:r>
        <w:rPr>
          <w:rFonts w:hint="eastAsia"/>
          <w:sz w:val="21"/>
          <w:szCs w:val="21"/>
        </w:rPr>
        <w:t>麦可思研究院.2022年中国本科生就业报告[M].北京：社会科学文献出版社，120.</w:t>
      </w:r>
    </w:p>
    <w:p>
      <w:pPr>
        <w:keepNext w:val="0"/>
        <w:keepLines w:val="0"/>
        <w:pageBreakBefore w:val="0"/>
        <w:widowControl w:val="0"/>
        <w:numPr>
          <w:ilvl w:val="0"/>
          <w:numId w:val="1"/>
        </w:numPr>
        <w:kinsoku/>
        <w:wordWrap w:val="0"/>
        <w:overflowPunct/>
        <w:topLinePunct w:val="0"/>
        <w:autoSpaceDE/>
        <w:autoSpaceDN/>
        <w:bidi w:val="0"/>
        <w:adjustRightInd/>
        <w:snapToGrid/>
        <w:ind w:left="0" w:leftChars="0" w:firstLine="0" w:firstLineChars="0"/>
        <w:textAlignment w:val="auto"/>
        <w:rPr>
          <w:rFonts w:hint="eastAsia"/>
          <w:sz w:val="21"/>
          <w:szCs w:val="21"/>
        </w:rPr>
      </w:pPr>
      <w:r>
        <w:rPr>
          <w:rFonts w:hint="eastAsia"/>
          <w:sz w:val="21"/>
          <w:szCs w:val="21"/>
        </w:rPr>
        <w:t>吴克明,欧阳奥琪,冯帮.大学生“蹲考族”现象研究：理性人假设的视角[J].广西师范大学学报(哲学社会科学版):1-18.</w:t>
      </w:r>
    </w:p>
    <w:p>
      <w:pPr>
        <w:keepNext w:val="0"/>
        <w:keepLines w:val="0"/>
        <w:pageBreakBefore w:val="0"/>
        <w:widowControl w:val="0"/>
        <w:numPr>
          <w:ilvl w:val="0"/>
          <w:numId w:val="1"/>
        </w:numPr>
        <w:kinsoku/>
        <w:wordWrap w:val="0"/>
        <w:overflowPunct/>
        <w:topLinePunct w:val="0"/>
        <w:autoSpaceDE/>
        <w:autoSpaceDN/>
        <w:bidi w:val="0"/>
        <w:adjustRightInd/>
        <w:snapToGrid/>
        <w:ind w:left="0" w:leftChars="0" w:firstLine="0" w:firstLineChars="0"/>
        <w:textAlignment w:val="auto"/>
        <w:rPr>
          <w:rFonts w:hint="eastAsia"/>
          <w:sz w:val="21"/>
          <w:szCs w:val="21"/>
        </w:rPr>
      </w:pPr>
      <w:r>
        <w:rPr>
          <w:rFonts w:hint="eastAsia"/>
          <w:sz w:val="21"/>
          <w:szCs w:val="21"/>
        </w:rPr>
        <w:t>麦可思研究院：应届本科生县城就业比例明显上升</w:t>
      </w:r>
      <w:r>
        <w:rPr>
          <w:rFonts w:hint="eastAsia"/>
          <w:sz w:val="21"/>
          <w:szCs w:val="21"/>
          <w:lang w:val="en-US" w:eastAsia="zh-CN"/>
        </w:rPr>
        <w:t>[</w:t>
      </w:r>
      <w:r>
        <w:rPr>
          <w:rFonts w:hint="eastAsia"/>
          <w:sz w:val="21"/>
          <w:szCs w:val="21"/>
        </w:rPr>
        <w:t>EB/OL</w:t>
      </w:r>
      <w:r>
        <w:rPr>
          <w:rFonts w:hint="eastAsia"/>
          <w:sz w:val="21"/>
          <w:szCs w:val="21"/>
          <w:lang w:val="en-US" w:eastAsia="zh-CN"/>
        </w:rPr>
        <w:t>]</w:t>
      </w:r>
      <w:r>
        <w:rPr>
          <w:rFonts w:hint="eastAsia"/>
          <w:sz w:val="21"/>
          <w:szCs w:val="21"/>
        </w:rPr>
        <w:t>.</w:t>
      </w:r>
      <w:r>
        <w:rPr>
          <w:rFonts w:hint="eastAsia"/>
          <w:sz w:val="21"/>
          <w:szCs w:val="21"/>
          <w:lang w:val="en-US" w:eastAsia="zh-CN"/>
        </w:rPr>
        <w:t>[</w:t>
      </w:r>
      <w:r>
        <w:rPr>
          <w:rFonts w:hint="eastAsia"/>
          <w:sz w:val="21"/>
          <w:szCs w:val="21"/>
        </w:rPr>
        <w:t>2024</w:t>
      </w:r>
      <w:r>
        <w:rPr>
          <w:rFonts w:hint="eastAsia"/>
          <w:sz w:val="21"/>
          <w:szCs w:val="21"/>
          <w:lang w:val="en-US" w:eastAsia="zh-CN"/>
        </w:rPr>
        <w:t>-</w:t>
      </w:r>
      <w:r>
        <w:rPr>
          <w:rFonts w:hint="eastAsia"/>
          <w:sz w:val="21"/>
          <w:szCs w:val="21"/>
        </w:rPr>
        <w:t>05</w:t>
      </w:r>
      <w:r>
        <w:rPr>
          <w:rFonts w:hint="eastAsia"/>
          <w:sz w:val="21"/>
          <w:szCs w:val="21"/>
          <w:lang w:val="en-US" w:eastAsia="zh-CN"/>
        </w:rPr>
        <w:t>-</w:t>
      </w:r>
      <w:r>
        <w:rPr>
          <w:rFonts w:hint="eastAsia"/>
          <w:sz w:val="21"/>
          <w:szCs w:val="21"/>
        </w:rPr>
        <w:t>19</w:t>
      </w:r>
      <w:r>
        <w:rPr>
          <w:rFonts w:hint="eastAsia"/>
          <w:sz w:val="21"/>
          <w:szCs w:val="21"/>
          <w:lang w:val="en-US" w:eastAsia="zh-CN"/>
        </w:rPr>
        <w:t>].</w:t>
      </w:r>
      <w:r>
        <w:rPr>
          <w:rFonts w:hint="eastAsia"/>
          <w:sz w:val="21"/>
          <w:szCs w:val="21"/>
        </w:rPr>
        <w:t>https://www.163.com/dy/article/IVTL9ET3051492T3.html</w:t>
      </w:r>
    </w:p>
    <w:p>
      <w:pPr>
        <w:keepNext w:val="0"/>
        <w:keepLines w:val="0"/>
        <w:pageBreakBefore w:val="0"/>
        <w:widowControl w:val="0"/>
        <w:numPr>
          <w:ilvl w:val="0"/>
          <w:numId w:val="1"/>
        </w:numPr>
        <w:kinsoku/>
        <w:wordWrap w:val="0"/>
        <w:overflowPunct/>
        <w:topLinePunct w:val="0"/>
        <w:autoSpaceDE/>
        <w:autoSpaceDN/>
        <w:bidi w:val="0"/>
        <w:adjustRightInd/>
        <w:snapToGrid/>
        <w:ind w:left="0" w:leftChars="0" w:firstLine="0" w:firstLineChars="0"/>
        <w:textAlignment w:val="auto"/>
        <w:rPr>
          <w:rFonts w:hint="eastAsia"/>
          <w:sz w:val="21"/>
          <w:szCs w:val="21"/>
        </w:rPr>
      </w:pPr>
      <w:r>
        <w:rPr>
          <w:rFonts w:hint="eastAsia"/>
          <w:sz w:val="21"/>
          <w:szCs w:val="21"/>
        </w:rPr>
        <w:t>董思萱,徐一方.“互联网+”时代下高校毕业生就业机遇与挑战[J].中阿科技论坛(中英文),2024,(04):123-127.</w:t>
      </w:r>
    </w:p>
    <w:p>
      <w:pPr>
        <w:keepNext w:val="0"/>
        <w:keepLines w:val="0"/>
        <w:pageBreakBefore w:val="0"/>
        <w:widowControl w:val="0"/>
        <w:numPr>
          <w:ilvl w:val="0"/>
          <w:numId w:val="1"/>
        </w:numPr>
        <w:kinsoku/>
        <w:wordWrap w:val="0"/>
        <w:overflowPunct/>
        <w:topLinePunct w:val="0"/>
        <w:autoSpaceDE/>
        <w:autoSpaceDN/>
        <w:bidi w:val="0"/>
        <w:adjustRightInd/>
        <w:snapToGrid/>
        <w:ind w:left="0" w:leftChars="0" w:firstLine="0" w:firstLineChars="0"/>
        <w:textAlignment w:val="auto"/>
        <w:rPr>
          <w:rFonts w:hint="eastAsia"/>
          <w:sz w:val="21"/>
          <w:szCs w:val="21"/>
        </w:rPr>
      </w:pPr>
      <w:r>
        <w:rPr>
          <w:rFonts w:hint="eastAsia"/>
          <w:sz w:val="21"/>
          <w:szCs w:val="21"/>
        </w:rPr>
        <w:t>熊鹏洋.新经济形态下大学生就业机遇与挑战[J].合作经济与科技,2022,(08):114-116</w:t>
      </w:r>
    </w:p>
    <w:p>
      <w:pPr>
        <w:keepNext w:val="0"/>
        <w:keepLines w:val="0"/>
        <w:pageBreakBefore w:val="0"/>
        <w:widowControl w:val="0"/>
        <w:numPr>
          <w:ilvl w:val="0"/>
          <w:numId w:val="1"/>
        </w:numPr>
        <w:kinsoku/>
        <w:wordWrap w:val="0"/>
        <w:overflowPunct/>
        <w:topLinePunct w:val="0"/>
        <w:autoSpaceDE/>
        <w:autoSpaceDN/>
        <w:bidi w:val="0"/>
        <w:adjustRightInd/>
        <w:snapToGrid/>
        <w:ind w:left="0" w:leftChars="0" w:firstLine="0" w:firstLineChars="0"/>
        <w:textAlignment w:val="auto"/>
        <w:rPr>
          <w:rFonts w:hint="eastAsia"/>
          <w:sz w:val="21"/>
          <w:szCs w:val="21"/>
        </w:rPr>
      </w:pPr>
      <w:r>
        <w:rPr>
          <w:rFonts w:hint="eastAsia"/>
          <w:sz w:val="21"/>
          <w:szCs w:val="21"/>
        </w:rPr>
        <w:t>薛颖,朱海波,张艳明.普通高校大学生就业现状分析与思考[J].赤峰学院学报(自然科学版),2014,30(19):251-252.DOI:10.13398/j.cnki.issn1673-260x.2014.19.105.</w:t>
      </w:r>
    </w:p>
    <w:p>
      <w:pPr>
        <w:keepNext w:val="0"/>
        <w:keepLines w:val="0"/>
        <w:pageBreakBefore w:val="0"/>
        <w:widowControl w:val="0"/>
        <w:numPr>
          <w:ilvl w:val="0"/>
          <w:numId w:val="1"/>
        </w:numPr>
        <w:kinsoku/>
        <w:wordWrap w:val="0"/>
        <w:overflowPunct/>
        <w:topLinePunct w:val="0"/>
        <w:autoSpaceDE/>
        <w:autoSpaceDN/>
        <w:bidi w:val="0"/>
        <w:adjustRightInd/>
        <w:snapToGrid/>
        <w:ind w:left="0" w:leftChars="0" w:firstLine="0" w:firstLineChars="0"/>
        <w:textAlignment w:val="auto"/>
        <w:rPr>
          <w:rFonts w:hint="eastAsia"/>
          <w:sz w:val="21"/>
          <w:szCs w:val="21"/>
        </w:rPr>
      </w:pPr>
      <w:r>
        <w:rPr>
          <w:rFonts w:hint="eastAsia"/>
          <w:sz w:val="21"/>
          <w:szCs w:val="21"/>
        </w:rPr>
        <w:t>邓张升,王丽红,邓立治. 创新创业教育对大学生就业能力的提升研究[J]. 中国商论,2021,(03):183-185.</w:t>
      </w:r>
    </w:p>
    <w:p>
      <w:pPr>
        <w:keepNext w:val="0"/>
        <w:keepLines w:val="0"/>
        <w:pageBreakBefore w:val="0"/>
        <w:widowControl w:val="0"/>
        <w:numPr>
          <w:ilvl w:val="0"/>
          <w:numId w:val="1"/>
        </w:numPr>
        <w:kinsoku/>
        <w:wordWrap w:val="0"/>
        <w:overflowPunct/>
        <w:topLinePunct w:val="0"/>
        <w:autoSpaceDE/>
        <w:autoSpaceDN/>
        <w:bidi w:val="0"/>
        <w:adjustRightInd/>
        <w:snapToGrid/>
        <w:ind w:left="0" w:leftChars="0" w:firstLine="0" w:firstLineChars="0"/>
        <w:textAlignment w:val="auto"/>
        <w:rPr>
          <w:rFonts w:hint="eastAsia"/>
          <w:sz w:val="21"/>
          <w:szCs w:val="21"/>
        </w:rPr>
      </w:pPr>
      <w:r>
        <w:rPr>
          <w:rFonts w:hint="eastAsia"/>
          <w:sz w:val="21"/>
          <w:szCs w:val="21"/>
        </w:rPr>
        <w:t>杨琳. 创新创业助力解决大学生就业难问题研究[J]. 教育与职业,2019,(17):57-60.</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42FED"/>
    <w:multiLevelType w:val="singleLevel"/>
    <w:tmpl w:val="06642FED"/>
    <w:lvl w:ilvl="0" w:tentative="0">
      <w:start w:val="1"/>
      <w:numFmt w:val="decimal"/>
      <w:suff w:val="space"/>
      <w:lvlText w:val="[%1]"/>
      <w:lvlJc w:val="left"/>
      <w:pPr>
        <w:tabs>
          <w:tab w:val="left" w:pos="312"/>
        </w:tabs>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YTE4MjRhYWQ2NzQyMTFjOGM4NTNiNmQ5YWM3YTIifQ=="/>
  </w:docVars>
  <w:rsids>
    <w:rsidRoot w:val="00000000"/>
    <w:rsid w:val="01205D5C"/>
    <w:rsid w:val="01415CD2"/>
    <w:rsid w:val="01B464A4"/>
    <w:rsid w:val="01C26E13"/>
    <w:rsid w:val="02072A78"/>
    <w:rsid w:val="0268158A"/>
    <w:rsid w:val="029A3FF4"/>
    <w:rsid w:val="03067D8A"/>
    <w:rsid w:val="041E6BD6"/>
    <w:rsid w:val="056621AB"/>
    <w:rsid w:val="058D7738"/>
    <w:rsid w:val="05F61781"/>
    <w:rsid w:val="06640499"/>
    <w:rsid w:val="06641E8F"/>
    <w:rsid w:val="07B94814"/>
    <w:rsid w:val="07CE5BEF"/>
    <w:rsid w:val="0854278F"/>
    <w:rsid w:val="089B6610"/>
    <w:rsid w:val="08A2174C"/>
    <w:rsid w:val="093D4FB7"/>
    <w:rsid w:val="094B42CC"/>
    <w:rsid w:val="09502F56"/>
    <w:rsid w:val="0A7011F6"/>
    <w:rsid w:val="0AA74DF8"/>
    <w:rsid w:val="0AE03D15"/>
    <w:rsid w:val="0B1B7594"/>
    <w:rsid w:val="0BB95339"/>
    <w:rsid w:val="0BCB0FBA"/>
    <w:rsid w:val="0BEC4D78"/>
    <w:rsid w:val="0C8C0F26"/>
    <w:rsid w:val="0CBE28CD"/>
    <w:rsid w:val="0D4B4161"/>
    <w:rsid w:val="0DF5231E"/>
    <w:rsid w:val="0E680D42"/>
    <w:rsid w:val="0EA16002"/>
    <w:rsid w:val="0F7756E1"/>
    <w:rsid w:val="107E2A9F"/>
    <w:rsid w:val="10DE353E"/>
    <w:rsid w:val="10E8616A"/>
    <w:rsid w:val="1182036D"/>
    <w:rsid w:val="11E56B9D"/>
    <w:rsid w:val="120B2110"/>
    <w:rsid w:val="128255D6"/>
    <w:rsid w:val="130F5C30"/>
    <w:rsid w:val="13BB37EC"/>
    <w:rsid w:val="141F7B53"/>
    <w:rsid w:val="14A02E08"/>
    <w:rsid w:val="14A73921"/>
    <w:rsid w:val="151B08BC"/>
    <w:rsid w:val="1598015F"/>
    <w:rsid w:val="16101AC2"/>
    <w:rsid w:val="16927587"/>
    <w:rsid w:val="173E3DE8"/>
    <w:rsid w:val="176522C3"/>
    <w:rsid w:val="17E025EE"/>
    <w:rsid w:val="1853036D"/>
    <w:rsid w:val="18616F2E"/>
    <w:rsid w:val="18A84B5D"/>
    <w:rsid w:val="18E830CD"/>
    <w:rsid w:val="19FD67E3"/>
    <w:rsid w:val="1A910F7A"/>
    <w:rsid w:val="1AD63F82"/>
    <w:rsid w:val="1AF50E59"/>
    <w:rsid w:val="1AFB2738"/>
    <w:rsid w:val="1B1738D4"/>
    <w:rsid w:val="1B34092A"/>
    <w:rsid w:val="1B8F5B60"/>
    <w:rsid w:val="1C590077"/>
    <w:rsid w:val="1C6A0323"/>
    <w:rsid w:val="1C78262A"/>
    <w:rsid w:val="1C817B9F"/>
    <w:rsid w:val="1CB87339"/>
    <w:rsid w:val="1D0064C1"/>
    <w:rsid w:val="1D187DD7"/>
    <w:rsid w:val="1D24052A"/>
    <w:rsid w:val="1D5C7CC4"/>
    <w:rsid w:val="1DAD49C3"/>
    <w:rsid w:val="1EB31B66"/>
    <w:rsid w:val="1FC94801"/>
    <w:rsid w:val="2020322B"/>
    <w:rsid w:val="21621621"/>
    <w:rsid w:val="217952E8"/>
    <w:rsid w:val="21802EDB"/>
    <w:rsid w:val="21C978F2"/>
    <w:rsid w:val="224A27E1"/>
    <w:rsid w:val="22EA70C8"/>
    <w:rsid w:val="2331574F"/>
    <w:rsid w:val="23CB5BA3"/>
    <w:rsid w:val="243472A5"/>
    <w:rsid w:val="245F009A"/>
    <w:rsid w:val="24834F09"/>
    <w:rsid w:val="24C32F84"/>
    <w:rsid w:val="24C80B24"/>
    <w:rsid w:val="255A0588"/>
    <w:rsid w:val="25CE44B5"/>
    <w:rsid w:val="25D16D75"/>
    <w:rsid w:val="260809E9"/>
    <w:rsid w:val="260C44CD"/>
    <w:rsid w:val="26290760"/>
    <w:rsid w:val="264439EB"/>
    <w:rsid w:val="26997FA8"/>
    <w:rsid w:val="26C35FA5"/>
    <w:rsid w:val="26CE2E20"/>
    <w:rsid w:val="2703209B"/>
    <w:rsid w:val="27952750"/>
    <w:rsid w:val="27BF5A1F"/>
    <w:rsid w:val="27CB6172"/>
    <w:rsid w:val="282B38D4"/>
    <w:rsid w:val="284D302B"/>
    <w:rsid w:val="288A6488"/>
    <w:rsid w:val="28B409B4"/>
    <w:rsid w:val="29CE3CF8"/>
    <w:rsid w:val="2A426494"/>
    <w:rsid w:val="2A816FBC"/>
    <w:rsid w:val="2A8C066D"/>
    <w:rsid w:val="2AE87B84"/>
    <w:rsid w:val="2B3B2230"/>
    <w:rsid w:val="2B3D5A52"/>
    <w:rsid w:val="2B3E30FF"/>
    <w:rsid w:val="2B724B56"/>
    <w:rsid w:val="2C097269"/>
    <w:rsid w:val="2D2105E2"/>
    <w:rsid w:val="2D614E83"/>
    <w:rsid w:val="2DD83397"/>
    <w:rsid w:val="2E580034"/>
    <w:rsid w:val="2EA96AE1"/>
    <w:rsid w:val="2F154177"/>
    <w:rsid w:val="2F546A4D"/>
    <w:rsid w:val="2F9C03F4"/>
    <w:rsid w:val="306F78B6"/>
    <w:rsid w:val="30D75B88"/>
    <w:rsid w:val="31186F92"/>
    <w:rsid w:val="31AB2B70"/>
    <w:rsid w:val="322D5B11"/>
    <w:rsid w:val="323C7590"/>
    <w:rsid w:val="327D275F"/>
    <w:rsid w:val="32904240"/>
    <w:rsid w:val="32BF68D3"/>
    <w:rsid w:val="32DC56D7"/>
    <w:rsid w:val="32F90ABC"/>
    <w:rsid w:val="33811DDB"/>
    <w:rsid w:val="338B2C59"/>
    <w:rsid w:val="33A31D51"/>
    <w:rsid w:val="33D645C4"/>
    <w:rsid w:val="344572AC"/>
    <w:rsid w:val="34C208FD"/>
    <w:rsid w:val="34C767CC"/>
    <w:rsid w:val="34DB551B"/>
    <w:rsid w:val="35A818A1"/>
    <w:rsid w:val="35AB1391"/>
    <w:rsid w:val="36035B81"/>
    <w:rsid w:val="3679148F"/>
    <w:rsid w:val="37643EED"/>
    <w:rsid w:val="378E4AC6"/>
    <w:rsid w:val="378E762D"/>
    <w:rsid w:val="37DF17C6"/>
    <w:rsid w:val="37F37355"/>
    <w:rsid w:val="3817303C"/>
    <w:rsid w:val="38983E4E"/>
    <w:rsid w:val="38A900CF"/>
    <w:rsid w:val="38AF2F46"/>
    <w:rsid w:val="38B60778"/>
    <w:rsid w:val="38F14B06"/>
    <w:rsid w:val="39752113"/>
    <w:rsid w:val="39945D33"/>
    <w:rsid w:val="39A131D7"/>
    <w:rsid w:val="39C2131E"/>
    <w:rsid w:val="39E82BB3"/>
    <w:rsid w:val="3A064DE8"/>
    <w:rsid w:val="3A443B62"/>
    <w:rsid w:val="3A461688"/>
    <w:rsid w:val="3ADC3D9A"/>
    <w:rsid w:val="3AED5FA8"/>
    <w:rsid w:val="3B3C0FD3"/>
    <w:rsid w:val="3B3F2CA7"/>
    <w:rsid w:val="3BA045D7"/>
    <w:rsid w:val="3BA33319"/>
    <w:rsid w:val="3BD31641"/>
    <w:rsid w:val="3C0D06AF"/>
    <w:rsid w:val="3CD130DE"/>
    <w:rsid w:val="3CF53550"/>
    <w:rsid w:val="3D4E5423"/>
    <w:rsid w:val="3D5A57DE"/>
    <w:rsid w:val="3E143AEF"/>
    <w:rsid w:val="3E3143FD"/>
    <w:rsid w:val="3E7762B4"/>
    <w:rsid w:val="3E7E1FA8"/>
    <w:rsid w:val="3E964DF8"/>
    <w:rsid w:val="3ED44ECD"/>
    <w:rsid w:val="3F6A7BC7"/>
    <w:rsid w:val="40273D0A"/>
    <w:rsid w:val="40E439A9"/>
    <w:rsid w:val="41DB1250"/>
    <w:rsid w:val="420E33D3"/>
    <w:rsid w:val="4282540B"/>
    <w:rsid w:val="42F3760B"/>
    <w:rsid w:val="436846AC"/>
    <w:rsid w:val="440B5E1C"/>
    <w:rsid w:val="442E1B0B"/>
    <w:rsid w:val="443609BF"/>
    <w:rsid w:val="452B268D"/>
    <w:rsid w:val="45AC0F39"/>
    <w:rsid w:val="45F4643C"/>
    <w:rsid w:val="45F8417E"/>
    <w:rsid w:val="46625A9C"/>
    <w:rsid w:val="467B6B5D"/>
    <w:rsid w:val="469043B7"/>
    <w:rsid w:val="48036E0A"/>
    <w:rsid w:val="4820176A"/>
    <w:rsid w:val="48221986"/>
    <w:rsid w:val="48EB1D78"/>
    <w:rsid w:val="48FA38AD"/>
    <w:rsid w:val="49043D99"/>
    <w:rsid w:val="4981448B"/>
    <w:rsid w:val="4990013E"/>
    <w:rsid w:val="49C34AA3"/>
    <w:rsid w:val="49F17862"/>
    <w:rsid w:val="4A0D5D1E"/>
    <w:rsid w:val="4A7E09CA"/>
    <w:rsid w:val="4A9B5A20"/>
    <w:rsid w:val="4AED7EF8"/>
    <w:rsid w:val="4C086F0F"/>
    <w:rsid w:val="4C6053BE"/>
    <w:rsid w:val="4C6F5B6B"/>
    <w:rsid w:val="4CF5766A"/>
    <w:rsid w:val="4D2D7FFF"/>
    <w:rsid w:val="4E3221F7"/>
    <w:rsid w:val="4E571C5E"/>
    <w:rsid w:val="4E767988"/>
    <w:rsid w:val="4E832A53"/>
    <w:rsid w:val="4FF37764"/>
    <w:rsid w:val="500256DD"/>
    <w:rsid w:val="50265D8C"/>
    <w:rsid w:val="50AF7B2F"/>
    <w:rsid w:val="51316796"/>
    <w:rsid w:val="519805C3"/>
    <w:rsid w:val="51B3364F"/>
    <w:rsid w:val="51BD002A"/>
    <w:rsid w:val="51FD48CA"/>
    <w:rsid w:val="52075749"/>
    <w:rsid w:val="520934DA"/>
    <w:rsid w:val="5209753A"/>
    <w:rsid w:val="52546BE0"/>
    <w:rsid w:val="52D20850"/>
    <w:rsid w:val="53067AC8"/>
    <w:rsid w:val="5395611C"/>
    <w:rsid w:val="53AE4E59"/>
    <w:rsid w:val="53DD0E57"/>
    <w:rsid w:val="543F566E"/>
    <w:rsid w:val="55356592"/>
    <w:rsid w:val="55717AA9"/>
    <w:rsid w:val="55983288"/>
    <w:rsid w:val="56AA237D"/>
    <w:rsid w:val="56B87607"/>
    <w:rsid w:val="57566F57"/>
    <w:rsid w:val="575907F5"/>
    <w:rsid w:val="575B631B"/>
    <w:rsid w:val="578D32EA"/>
    <w:rsid w:val="579E445A"/>
    <w:rsid w:val="584B45E2"/>
    <w:rsid w:val="584C1143"/>
    <w:rsid w:val="58B55EFF"/>
    <w:rsid w:val="59992BC8"/>
    <w:rsid w:val="5A6E0A5B"/>
    <w:rsid w:val="5A911771"/>
    <w:rsid w:val="5AC91997"/>
    <w:rsid w:val="5AFC1686"/>
    <w:rsid w:val="5B865931"/>
    <w:rsid w:val="5BBC75A4"/>
    <w:rsid w:val="5BDB5C7C"/>
    <w:rsid w:val="5BE10DB9"/>
    <w:rsid w:val="5C07081F"/>
    <w:rsid w:val="5C0A6562"/>
    <w:rsid w:val="5C11169E"/>
    <w:rsid w:val="5C693288"/>
    <w:rsid w:val="5C6F4617"/>
    <w:rsid w:val="5C7C1A11"/>
    <w:rsid w:val="5D537A94"/>
    <w:rsid w:val="5D656145"/>
    <w:rsid w:val="5DEF5A0F"/>
    <w:rsid w:val="5F14524E"/>
    <w:rsid w:val="5F4B2F1D"/>
    <w:rsid w:val="5FCD43EB"/>
    <w:rsid w:val="6042276E"/>
    <w:rsid w:val="605F3E47"/>
    <w:rsid w:val="610C68D8"/>
    <w:rsid w:val="61502C69"/>
    <w:rsid w:val="62AC3ECF"/>
    <w:rsid w:val="62EA2830"/>
    <w:rsid w:val="63500CFE"/>
    <w:rsid w:val="63FC70D8"/>
    <w:rsid w:val="640F6430"/>
    <w:rsid w:val="649F6894"/>
    <w:rsid w:val="64B24575"/>
    <w:rsid w:val="64F06929"/>
    <w:rsid w:val="651C7526"/>
    <w:rsid w:val="65270184"/>
    <w:rsid w:val="661701F9"/>
    <w:rsid w:val="66363EA0"/>
    <w:rsid w:val="66A30DBD"/>
    <w:rsid w:val="670B7696"/>
    <w:rsid w:val="68142BCA"/>
    <w:rsid w:val="6865349E"/>
    <w:rsid w:val="68C301C4"/>
    <w:rsid w:val="68C53F3C"/>
    <w:rsid w:val="69482477"/>
    <w:rsid w:val="696A6892"/>
    <w:rsid w:val="69735746"/>
    <w:rsid w:val="698575BE"/>
    <w:rsid w:val="6A075D7C"/>
    <w:rsid w:val="6A0C1B0B"/>
    <w:rsid w:val="6A2E78BF"/>
    <w:rsid w:val="6A303637"/>
    <w:rsid w:val="6B1C1E0E"/>
    <w:rsid w:val="6B5B46E4"/>
    <w:rsid w:val="6BCF0C2E"/>
    <w:rsid w:val="6BEE37AA"/>
    <w:rsid w:val="6BF40D40"/>
    <w:rsid w:val="6CBC7404"/>
    <w:rsid w:val="6CC60283"/>
    <w:rsid w:val="6CCD33BF"/>
    <w:rsid w:val="6CDE737B"/>
    <w:rsid w:val="6D570F6A"/>
    <w:rsid w:val="6D83171C"/>
    <w:rsid w:val="6E6016C5"/>
    <w:rsid w:val="6EA210B0"/>
    <w:rsid w:val="6EE13152"/>
    <w:rsid w:val="6EFA4214"/>
    <w:rsid w:val="6F2A2D4B"/>
    <w:rsid w:val="6F92269E"/>
    <w:rsid w:val="6FAB3DDE"/>
    <w:rsid w:val="6FDC1B6B"/>
    <w:rsid w:val="704F058F"/>
    <w:rsid w:val="70C86012"/>
    <w:rsid w:val="71983035"/>
    <w:rsid w:val="71B64265"/>
    <w:rsid w:val="71C744DC"/>
    <w:rsid w:val="71EE5931"/>
    <w:rsid w:val="71FC23B1"/>
    <w:rsid w:val="723932A5"/>
    <w:rsid w:val="726C4EFD"/>
    <w:rsid w:val="73133AF6"/>
    <w:rsid w:val="740D2C3B"/>
    <w:rsid w:val="747B1953"/>
    <w:rsid w:val="74911176"/>
    <w:rsid w:val="74F2137A"/>
    <w:rsid w:val="74F73BB9"/>
    <w:rsid w:val="75324707"/>
    <w:rsid w:val="754D7793"/>
    <w:rsid w:val="75BA2D09"/>
    <w:rsid w:val="75D354CF"/>
    <w:rsid w:val="75DC0B17"/>
    <w:rsid w:val="763D4A00"/>
    <w:rsid w:val="768F6200"/>
    <w:rsid w:val="772207AC"/>
    <w:rsid w:val="77EE068E"/>
    <w:rsid w:val="78760DAF"/>
    <w:rsid w:val="787D038F"/>
    <w:rsid w:val="79B4167A"/>
    <w:rsid w:val="79E306C6"/>
    <w:rsid w:val="7AAF2356"/>
    <w:rsid w:val="7B064FE8"/>
    <w:rsid w:val="7B334D35"/>
    <w:rsid w:val="7B3A4316"/>
    <w:rsid w:val="7B6A0BC6"/>
    <w:rsid w:val="7B6C0247"/>
    <w:rsid w:val="7B6E6E26"/>
    <w:rsid w:val="7C2154D6"/>
    <w:rsid w:val="7C217557"/>
    <w:rsid w:val="7C8021FC"/>
    <w:rsid w:val="7C921F30"/>
    <w:rsid w:val="7D5D0E20"/>
    <w:rsid w:val="7DD2457A"/>
    <w:rsid w:val="7E3A63DB"/>
    <w:rsid w:val="7E635932"/>
    <w:rsid w:val="7EF54F98"/>
    <w:rsid w:val="7F203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723" w:firstLineChars="200"/>
    </w:pPr>
    <w:rPr>
      <w:rFonts w:ascii="Times New Roman" w:hAnsi="Times New Roman" w:eastAsia="宋体" w:cstheme="minorBidi"/>
      <w:kern w:val="2"/>
      <w:sz w:val="24"/>
      <w:szCs w:val="22"/>
      <w:lang w:val="en-US" w:eastAsia="zh-CN" w:bidi="ar-SA"/>
      <w14:ligatures w14:val="standardContextual"/>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160" w:afterAutospacing="0" w:line="276" w:lineRule="auto"/>
      <w:ind w:left="0" w:right="0"/>
    </w:pPr>
    <w:rPr>
      <w:rFonts w:hint="eastAsia" w:ascii="等线" w:hAnsi="等线" w:eastAsia="等线" w:cs="等线"/>
      <w:kern w:val="2"/>
      <w:sz w:val="22"/>
      <w:szCs w:val="24"/>
    </w:rPr>
    <w:tblPr>
      <w:tblCellMar>
        <w:top w:w="0" w:type="dxa"/>
        <w:left w:w="108" w:type="dxa"/>
        <w:bottom w:w="0" w:type="dxa"/>
        <w:right w:w="108" w:type="dxa"/>
      </w:tblCellMar>
    </w:tblPr>
  </w:style>
  <w:style w:type="paragraph" w:styleId="4">
    <w:name w:val="caption"/>
    <w:basedOn w:val="1"/>
    <w:next w:val="1"/>
    <w:autoRedefine/>
    <w:unhideWhenUsed/>
    <w:qFormat/>
    <w:uiPriority w:val="35"/>
    <w:pPr>
      <w:keepNext/>
      <w:spacing w:before="50" w:beforeLines="50" w:after="50" w:afterLines="50"/>
      <w:ind w:firstLine="0" w:firstLineChars="0"/>
      <w:jc w:val="center"/>
    </w:pPr>
    <w:rPr>
      <w:rFonts w:ascii="黑体" w:hAnsi="黑体" w:eastAsia="黑体" w:cstheme="majorBidi"/>
      <w:sz w:val="20"/>
      <w:szCs w:val="20"/>
    </w:rPr>
  </w:style>
  <w:style w:type="paragraph" w:styleId="5">
    <w:name w:val="annotation text"/>
    <w:basedOn w:val="1"/>
    <w:autoRedefine/>
    <w:semiHidden/>
    <w:unhideWhenUsed/>
    <w:qFormat/>
    <w:uiPriority w:val="99"/>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styleId="10">
    <w:name w:val="annotation reference"/>
    <w:basedOn w:val="8"/>
    <w:autoRedefine/>
    <w:qFormat/>
    <w:uiPriority w:val="0"/>
    <w:rPr>
      <w:sz w:val="21"/>
      <w:szCs w:val="21"/>
    </w:rPr>
  </w:style>
  <w:style w:type="paragraph" w:customStyle="1" w:styleId="11">
    <w:name w:val="章节标题"/>
    <w:basedOn w:val="1"/>
    <w:autoRedefine/>
    <w:qFormat/>
    <w:uiPriority w:val="0"/>
    <w:pPr>
      <w:spacing w:before="50" w:beforeLines="50" w:after="50" w:afterLines="50"/>
      <w:ind w:firstLine="0" w:firstLineChars="0"/>
    </w:pPr>
    <w:rPr>
      <w:rFonts w:hint="eastAsia"/>
      <w:b/>
      <w:sz w:val="28"/>
    </w:rPr>
  </w:style>
  <w:style w:type="table" w:customStyle="1" w:styleId="12">
    <w:name w:val="三线表"/>
    <w:basedOn w:val="6"/>
    <w:autoRedefine/>
    <w:qFormat/>
    <w:uiPriority w:val="99"/>
    <w:pPr>
      <w:keepNext/>
      <w:spacing w:line="360" w:lineRule="exact"/>
    </w:pPr>
    <w:rPr>
      <w:sz w:val="24"/>
    </w:rPr>
    <w:tblPr>
      <w:tblBorders>
        <w:top w:val="single" w:color="auto" w:sz="12" w:space="0"/>
        <w:bottom w:val="single" w:color="auto" w:sz="12" w:space="0"/>
        <w:insideH w:val="single" w:color="auto" w:sz="6"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本科人数</c:v>
                </c:pt>
              </c:strCache>
            </c:strRef>
          </c:tx>
          <c:spPr>
            <a:ln w="28575" cap="flat" cmpd="sng">
              <a:solidFill>
                <a:schemeClr val="accent1"/>
              </a:solidFill>
              <a:prstDash val="solid"/>
              <a:miter lim="800000"/>
            </a:ln>
            <a:effectLst/>
          </c:spPr>
          <c:marker>
            <c:symbol val="none"/>
          </c:marker>
          <c:dLbls>
            <c:delete val="1"/>
          </c:dLbls>
          <c:cat>
            <c:strRef>
              <c:f>Sheet1!$A$2:$A$24</c:f>
              <c:strCache>
                <c:ptCount val="23"/>
                <c:pt idx="0">
                  <c:v>2000年</c:v>
                </c:pt>
                <c:pt idx="1">
                  <c:v>2001年</c:v>
                </c:pt>
                <c:pt idx="2">
                  <c:v>2002年</c:v>
                </c:pt>
                <c:pt idx="3">
                  <c:v>2003年</c:v>
                </c:pt>
                <c:pt idx="4">
                  <c:v>2004年</c:v>
                </c:pt>
                <c:pt idx="5">
                  <c:v>2005年</c:v>
                </c:pt>
                <c:pt idx="6">
                  <c:v>2006年</c:v>
                </c:pt>
                <c:pt idx="7">
                  <c:v>2007年</c:v>
                </c:pt>
                <c:pt idx="8">
                  <c:v>2008年</c:v>
                </c:pt>
                <c:pt idx="9">
                  <c:v>2009年</c:v>
                </c:pt>
                <c:pt idx="10">
                  <c:v>2010年</c:v>
                </c:pt>
                <c:pt idx="11">
                  <c:v>2011年</c:v>
                </c:pt>
                <c:pt idx="12">
                  <c:v>2012年</c:v>
                </c:pt>
                <c:pt idx="13">
                  <c:v>2013年</c:v>
                </c:pt>
                <c:pt idx="14">
                  <c:v>2014年</c:v>
                </c:pt>
                <c:pt idx="15">
                  <c:v>2015年</c:v>
                </c:pt>
                <c:pt idx="16">
                  <c:v>2016年</c:v>
                </c:pt>
                <c:pt idx="17">
                  <c:v>2017年</c:v>
                </c:pt>
                <c:pt idx="18">
                  <c:v>2018年</c:v>
                </c:pt>
                <c:pt idx="19">
                  <c:v>2019年</c:v>
                </c:pt>
                <c:pt idx="20">
                  <c:v>2020年</c:v>
                </c:pt>
                <c:pt idx="21">
                  <c:v>2021年</c:v>
                </c:pt>
                <c:pt idx="22">
                  <c:v>2022年</c:v>
                </c:pt>
              </c:strCache>
            </c:strRef>
          </c:cat>
          <c:val>
            <c:numRef>
              <c:f>Sheet1!$B$2:$B$24</c:f>
              <c:numCache>
                <c:formatCode>General</c:formatCode>
                <c:ptCount val="23"/>
                <c:pt idx="0">
                  <c:v>95</c:v>
                </c:pt>
                <c:pt idx="1">
                  <c:v>103.6</c:v>
                </c:pt>
                <c:pt idx="2">
                  <c:v>133.7</c:v>
                </c:pt>
                <c:pt idx="3">
                  <c:v>187.7</c:v>
                </c:pt>
                <c:pt idx="4">
                  <c:v>239.1</c:v>
                </c:pt>
                <c:pt idx="5">
                  <c:v>306.8</c:v>
                </c:pt>
                <c:pt idx="6">
                  <c:v>377.5</c:v>
                </c:pt>
                <c:pt idx="7">
                  <c:v>447.8</c:v>
                </c:pt>
                <c:pt idx="8">
                  <c:v>511.9</c:v>
                </c:pt>
                <c:pt idx="9">
                  <c:v>531.1</c:v>
                </c:pt>
                <c:pt idx="10">
                  <c:v>575.4</c:v>
                </c:pt>
                <c:pt idx="11">
                  <c:v>608.2</c:v>
                </c:pt>
                <c:pt idx="12">
                  <c:v>624.7</c:v>
                </c:pt>
                <c:pt idx="13">
                  <c:v>638.7</c:v>
                </c:pt>
                <c:pt idx="14">
                  <c:v>659.4</c:v>
                </c:pt>
                <c:pt idx="15">
                  <c:v>680.9</c:v>
                </c:pt>
                <c:pt idx="16">
                  <c:v>704.2</c:v>
                </c:pt>
                <c:pt idx="17">
                  <c:v>735.8</c:v>
                </c:pt>
                <c:pt idx="18">
                  <c:v>753.3</c:v>
                </c:pt>
                <c:pt idx="19">
                  <c:v>758.5</c:v>
                </c:pt>
                <c:pt idx="20">
                  <c:v>797.2</c:v>
                </c:pt>
                <c:pt idx="21">
                  <c:v>826.5</c:v>
                </c:pt>
                <c:pt idx="22">
                  <c:v>967.3</c:v>
                </c:pt>
              </c:numCache>
            </c:numRef>
          </c:val>
          <c:smooth val="0"/>
        </c:ser>
        <c:dLbls>
          <c:showLegendKey val="0"/>
          <c:showVal val="0"/>
          <c:showCatName val="0"/>
          <c:showSerName val="0"/>
          <c:showPercent val="0"/>
          <c:showBubbleSize val="0"/>
        </c:dLbls>
        <c:dropLines>
          <c:spPr>
            <a:ln w="9525" cap="flat" cmpd="sng" algn="ctr">
              <a:gradFill>
                <a:gsLst>
                  <a:gs pos="5000">
                    <a:schemeClr val="accent1"/>
                  </a:gs>
                  <a:gs pos="100000">
                    <a:schemeClr val="bg1"/>
                  </a:gs>
                </a:gsLst>
                <a:lin ang="5400000" scaled="1"/>
              </a:gradFill>
              <a:round/>
            </a:ln>
            <a:effectLst/>
          </c:spPr>
        </c:dropLines>
        <c:marker val="0"/>
        <c:smooth val="0"/>
        <c:axId val="983295562"/>
        <c:axId val="860289884"/>
      </c:lineChart>
      <c:catAx>
        <c:axId val="983295562"/>
        <c:scaling>
          <c:orientation val="minMax"/>
        </c:scaling>
        <c:delete val="0"/>
        <c:axPos val="b"/>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860289884"/>
        <c:crosses val="autoZero"/>
        <c:auto val="1"/>
        <c:lblAlgn val="ctr"/>
        <c:lblOffset val="100"/>
        <c:noMultiLvlLbl val="0"/>
      </c:catAx>
      <c:valAx>
        <c:axId val="860289884"/>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万人</a:t>
                </a:r>
              </a:p>
            </c:rich>
          </c:tx>
          <c:layout>
            <c:manualLayout>
              <c:xMode val="edge"/>
              <c:yMode val="edge"/>
              <c:x val="0.0221669305586971"/>
              <c:y val="0.118172134639966"/>
            </c:manualLayout>
          </c:layout>
          <c:overlay val="0"/>
          <c:spPr>
            <a:noFill/>
            <a:ln>
              <a:noFill/>
            </a:ln>
            <a:effectLst/>
          </c:spPr>
        </c:title>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983295562"/>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8】">
    <a:dk1>
      <a:srgbClr val="000000"/>
    </a:dk1>
    <a:lt1>
      <a:srgbClr val="FFFFFF"/>
    </a:lt1>
    <a:dk2>
      <a:srgbClr val="0C0E1F"/>
    </a:dk2>
    <a:lt2>
      <a:srgbClr val="FEFFFF"/>
    </a:lt2>
    <a:accent1>
      <a:srgbClr val="3875FF"/>
    </a:accent1>
    <a:accent2>
      <a:srgbClr val="FCBE00"/>
    </a:accent2>
    <a:accent3>
      <a:srgbClr val="73A1FF"/>
    </a:accent3>
    <a:accent4>
      <a:srgbClr val="83D8FF"/>
    </a:accent4>
    <a:accent5>
      <a:srgbClr val="FC9400"/>
    </a:accent5>
    <a:accent6>
      <a:srgbClr val="0093F0"/>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2024-05-08T15:15:00Z</dcterms:created>
  <dc:creator>34282</dc:creator>
  <cp:lastModifiedBy>时倾</cp:lastModifiedBy>
  <dcterms:modified xsi:type="dcterms:W3CDTF">2024-05-19T10:36:32Z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46590FAC4E1740758AFC05CCF42A3D37_13</vt:lpwstr>
  </property>
</Properties>
</file>