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95CF35">
      <w:pPr>
        <w:pStyle w:val="2"/>
        <w:bidi w:val="0"/>
        <w:jc w:val="center"/>
        <w:rPr>
          <w:rFonts w:hint="eastAsia" w:ascii="黑体" w:hAnsi="黑体" w:eastAsia="黑体" w:cs="黑体"/>
          <w:lang w:val="en-US" w:eastAsia="zh-CN"/>
        </w:rPr>
      </w:pPr>
      <w:r>
        <w:rPr>
          <w:rFonts w:hint="eastAsia" w:ascii="黑体" w:hAnsi="黑体" w:eastAsia="黑体" w:cs="黑体"/>
          <w:lang w:val="en-US" w:eastAsia="zh-CN"/>
        </w:rPr>
        <w:t>从校园到乡土，大学生返乡就业能力提升与乡村发展新动力</w:t>
      </w:r>
    </w:p>
    <w:p w14:paraId="00623CD0">
      <w:pPr>
        <w:rPr>
          <w:rFonts w:hint="default" w:ascii="宋体" w:hAnsi="宋体" w:eastAsia="宋体" w:cs="宋体"/>
          <w:lang w:val="en-US" w:eastAsia="zh-CN"/>
        </w:rPr>
      </w:pPr>
      <w:r>
        <w:rPr>
          <w:rFonts w:hint="default" w:ascii="宋体" w:hAnsi="宋体" w:eastAsia="宋体" w:cs="宋体"/>
          <w:lang w:val="en-US" w:eastAsia="zh-CN"/>
        </w:rPr>
        <w:t>关键词：</w:t>
      </w:r>
      <w:r>
        <w:rPr>
          <w:rFonts w:hint="eastAsia" w:ascii="宋体" w:hAnsi="宋体" w:cs="宋体"/>
          <w:lang w:val="en-US" w:eastAsia="zh-CN"/>
        </w:rPr>
        <w:t>大学生</w:t>
      </w:r>
      <w:r>
        <w:rPr>
          <w:rFonts w:hint="default" w:ascii="宋体" w:hAnsi="宋体" w:eastAsia="宋体" w:cs="宋体"/>
          <w:lang w:val="en-US" w:eastAsia="zh-CN"/>
        </w:rPr>
        <w:t>；</w:t>
      </w:r>
      <w:r>
        <w:rPr>
          <w:rFonts w:hint="eastAsia" w:ascii="宋体" w:hAnsi="宋体" w:cs="宋体"/>
          <w:lang w:val="en-US" w:eastAsia="zh-CN"/>
        </w:rPr>
        <w:t>返乡</w:t>
      </w:r>
      <w:r>
        <w:rPr>
          <w:rFonts w:hint="default" w:ascii="宋体" w:hAnsi="宋体" w:eastAsia="宋体" w:cs="宋体"/>
          <w:lang w:val="en-US" w:eastAsia="zh-CN"/>
        </w:rPr>
        <w:t>；</w:t>
      </w:r>
      <w:r>
        <w:rPr>
          <w:rFonts w:hint="eastAsia" w:ascii="宋体" w:hAnsi="宋体" w:cs="宋体"/>
          <w:lang w:val="en-US" w:eastAsia="zh-CN"/>
        </w:rPr>
        <w:t>就业能力</w:t>
      </w:r>
    </w:p>
    <w:p w14:paraId="28B1FDD0">
      <w:pPr>
        <w:pStyle w:val="4"/>
        <w:numPr>
          <w:ilvl w:val="0"/>
          <w:numId w:val="0"/>
        </w:numPr>
        <w:bidi w:val="0"/>
        <w:ind w:leftChars="0"/>
        <w:rPr>
          <w:rFonts w:hint="eastAsia"/>
        </w:rPr>
      </w:pPr>
      <w:r>
        <w:rPr>
          <w:rFonts w:hint="eastAsia"/>
          <w:lang w:val="en-US" w:eastAsia="zh-CN"/>
        </w:rPr>
        <w:t>1</w:t>
      </w:r>
      <w:r>
        <w:rPr>
          <w:rFonts w:hint="eastAsia"/>
        </w:rPr>
        <w:t>引言</w:t>
      </w:r>
    </w:p>
    <w:p w14:paraId="715C6564">
      <w:pPr>
        <w:keepNext w:val="0"/>
        <w:keepLines w:val="0"/>
        <w:pageBreakBefore w:val="0"/>
        <w:widowControl w:val="0"/>
        <w:kinsoku/>
        <w:wordWrap w:val="0"/>
        <w:overflowPunct/>
        <w:topLinePunct w:val="0"/>
        <w:autoSpaceDE/>
        <w:autoSpaceDN/>
        <w:bidi w:val="0"/>
        <w:adjustRightInd/>
        <w:snapToGrid/>
        <w:textAlignment w:val="auto"/>
        <w:rPr>
          <w:rFonts w:hint="default" w:eastAsia="宋体"/>
          <w:highlight w:val="none"/>
          <w:lang w:val="en-US" w:eastAsia="zh-CN"/>
        </w:rPr>
      </w:pPr>
      <w:r>
        <w:rPr>
          <w:rFonts w:hint="eastAsia"/>
          <w:highlight w:val="none"/>
          <w:lang w:val="en-US" w:eastAsia="zh-CN"/>
        </w:rPr>
        <w:t>近年来，全国高校毕业人数持续增长，从2020年的874万人增长到2022年的1076万人，2023届高校毕业生规模达1158万人。毕业生数量的持续增加使得就业市场竞争愈发白热化。但“好儿女志在四方，有志者奋斗无悔”。党的十八大以来，习近平总书记高度重视青年人到乡村一线建功立业，要求“积极培养本土人才，鼓励外出能人返乡创业”。</w:t>
      </w:r>
      <w:r>
        <w:rPr>
          <w:rFonts w:hint="eastAsia"/>
          <w:highlight w:val="none"/>
        </w:rPr>
        <w:t>在此背景下，</w:t>
      </w:r>
      <w:r>
        <w:rPr>
          <w:rFonts w:hint="eastAsia"/>
          <w:highlight w:val="none"/>
          <w:lang w:val="en-US" w:eastAsia="zh-CN"/>
        </w:rPr>
        <w:t>研究大学生返乡就业能力提升与乡村发展新动力，具有</w:t>
      </w:r>
      <w:r>
        <w:rPr>
          <w:rFonts w:hint="eastAsia"/>
          <w:highlight w:val="none"/>
        </w:rPr>
        <w:t>重要的现实意义和政策支持基础。</w:t>
      </w:r>
    </w:p>
    <w:p w14:paraId="7EBAB0D5">
      <w:pPr>
        <w:keepNext w:val="0"/>
        <w:keepLines w:val="0"/>
        <w:pageBreakBefore w:val="0"/>
        <w:widowControl w:val="0"/>
        <w:kinsoku/>
        <w:wordWrap w:val="0"/>
        <w:overflowPunct/>
        <w:topLinePunct w:val="0"/>
        <w:autoSpaceDE/>
        <w:autoSpaceDN/>
        <w:bidi w:val="0"/>
        <w:adjustRightInd/>
        <w:snapToGrid/>
        <w:textAlignment w:val="auto"/>
        <w:rPr>
          <w:rFonts w:hint="default"/>
          <w:highlight w:val="none"/>
          <w:lang w:val="en-US"/>
        </w:rPr>
      </w:pPr>
      <w:r>
        <w:rPr>
          <w:rFonts w:hint="eastAsia"/>
          <w:highlight w:val="none"/>
        </w:rPr>
        <w:t>本研究聚焦“</w:t>
      </w:r>
      <w:r>
        <w:rPr>
          <w:rFonts w:hint="eastAsia"/>
          <w:highlight w:val="none"/>
          <w:lang w:val="en-US" w:eastAsia="zh-CN"/>
        </w:rPr>
        <w:t>大学生就业</w:t>
      </w:r>
      <w:r>
        <w:rPr>
          <w:rFonts w:hint="eastAsia"/>
          <w:highlight w:val="none"/>
        </w:rPr>
        <w:t>”和“</w:t>
      </w:r>
      <w:r>
        <w:rPr>
          <w:rFonts w:hint="eastAsia"/>
          <w:highlight w:val="none"/>
          <w:lang w:val="en-US" w:eastAsia="zh-CN"/>
        </w:rPr>
        <w:t>返乡</w:t>
      </w:r>
      <w:r>
        <w:rPr>
          <w:rFonts w:hint="eastAsia"/>
          <w:highlight w:val="none"/>
        </w:rPr>
        <w:t>”，探讨</w:t>
      </w:r>
      <w:r>
        <w:rPr>
          <w:rFonts w:hint="eastAsia"/>
          <w:highlight w:val="none"/>
          <w:lang w:val="en-US" w:eastAsia="zh-CN"/>
        </w:rPr>
        <w:t>大学生返乡就业能力提升与乡村发展新动力，助力大学生返乡就业新征程。</w:t>
      </w:r>
    </w:p>
    <w:p w14:paraId="5ECC86E9">
      <w:pPr>
        <w:pStyle w:val="4"/>
        <w:numPr>
          <w:ilvl w:val="0"/>
          <w:numId w:val="0"/>
        </w:numPr>
        <w:bidi w:val="0"/>
        <w:ind w:leftChars="0"/>
        <w:rPr>
          <w:rFonts w:hint="default"/>
          <w:lang w:val="en-US" w:eastAsia="zh-CN"/>
        </w:rPr>
      </w:pPr>
      <w:r>
        <w:rPr>
          <w:rFonts w:hint="eastAsia"/>
          <w:lang w:val="en-US" w:eastAsia="zh-CN"/>
        </w:rPr>
        <w:t>2 检索策略</w:t>
      </w:r>
    </w:p>
    <w:p w14:paraId="6914AB2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r>
        <w:rPr>
          <w:rFonts w:hint="eastAsia"/>
        </w:rPr>
        <w:t>本文以</w:t>
      </w:r>
      <w:r>
        <w:rPr>
          <w:rFonts w:hint="eastAsia"/>
          <w:lang w:eastAsia="zh-CN"/>
        </w:rPr>
        <w:t>“</w:t>
      </w:r>
      <w:r>
        <w:rPr>
          <w:rFonts w:hint="eastAsia"/>
          <w:lang w:val="en-US" w:eastAsia="zh-CN"/>
        </w:rPr>
        <w:t>返乡就业创业</w:t>
      </w:r>
      <w:r>
        <w:rPr>
          <w:rFonts w:hint="eastAsia"/>
          <w:lang w:eastAsia="zh-CN"/>
        </w:rPr>
        <w:t>”</w:t>
      </w:r>
      <w:r>
        <w:rPr>
          <w:rFonts w:hint="eastAsia"/>
        </w:rPr>
        <w:t>“</w:t>
      </w:r>
      <w:r>
        <w:rPr>
          <w:rFonts w:hint="eastAsia"/>
          <w:lang w:val="en-US" w:eastAsia="zh-CN"/>
        </w:rPr>
        <w:t>大学生就业</w:t>
      </w:r>
      <w:r>
        <w:rPr>
          <w:rFonts w:hint="eastAsia"/>
        </w:rPr>
        <w:t>”“</w:t>
      </w:r>
      <w:r>
        <w:rPr>
          <w:rFonts w:hint="eastAsia"/>
          <w:lang w:val="en-US" w:eastAsia="zh-CN"/>
        </w:rPr>
        <w:t>就业能力</w:t>
      </w:r>
      <w:r>
        <w:rPr>
          <w:rFonts w:hint="eastAsia"/>
        </w:rPr>
        <w:t>”为</w:t>
      </w:r>
      <w:r>
        <w:rPr>
          <w:rFonts w:hint="eastAsia"/>
          <w:lang w:val="en-US" w:eastAsia="zh-CN"/>
        </w:rPr>
        <w:t>核心检索词</w:t>
      </w:r>
      <w:r>
        <w:rPr>
          <w:rFonts w:hint="eastAsia"/>
        </w:rPr>
        <w:t>，通过同义词扩展及上、下位概念扩充，</w:t>
      </w:r>
      <w:r>
        <w:rPr>
          <w:rFonts w:hint="eastAsia"/>
          <w:lang w:val="en-US" w:eastAsia="zh-CN"/>
        </w:rPr>
        <w:t>使用Xmind软件生成核心检索词及其他检索词的思维导图，见图1，</w:t>
      </w:r>
      <w:r>
        <w:rPr>
          <w:rFonts w:hint="eastAsia"/>
        </w:rPr>
        <w:t>选取的信息源及对应检索式见表1</w:t>
      </w:r>
      <w:r>
        <w:rPr>
          <w:rFonts w:hint="eastAsia"/>
          <w:lang w:eastAsia="zh-CN"/>
        </w:rPr>
        <w:t>。</w:t>
      </w:r>
    </w:p>
    <w:p w14:paraId="1570B809">
      <w:pPr>
        <w:bidi w:val="0"/>
        <w:jc w:val="center"/>
      </w:pPr>
      <w:r>
        <w:drawing>
          <wp:inline distT="0" distB="0" distL="114300" distR="114300">
            <wp:extent cx="5273040" cy="2934970"/>
            <wp:effectExtent l="0" t="0" r="1016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73040" cy="2934970"/>
                    </a:xfrm>
                    <a:prstGeom prst="rect">
                      <a:avLst/>
                    </a:prstGeom>
                    <a:noFill/>
                    <a:ln>
                      <a:noFill/>
                    </a:ln>
                  </pic:spPr>
                </pic:pic>
              </a:graphicData>
            </a:graphic>
          </wp:inline>
        </w:drawing>
      </w:r>
    </w:p>
    <w:p w14:paraId="1AA42EDE">
      <w:pPr>
        <w:pStyle w:val="6"/>
        <w:bidi w:val="0"/>
        <w:rPr>
          <w:rFonts w:hint="eastAsia"/>
          <w:lang w:val="en-US" w:eastAsia="zh-CN"/>
        </w:rPr>
      </w:pPr>
      <w:r>
        <w:t xml:space="preserve">图 </w:t>
      </w:r>
      <w:r>
        <w:fldChar w:fldCharType="begin"/>
      </w:r>
      <w:r>
        <w:instrText xml:space="preserve"> SEQ 图 \* ARABIC </w:instrText>
      </w:r>
      <w:r>
        <w:fldChar w:fldCharType="separate"/>
      </w:r>
      <w:r>
        <w:t>1</w:t>
      </w:r>
      <w:r>
        <w:fldChar w:fldCharType="end"/>
      </w:r>
      <w:r>
        <w:rPr>
          <w:rFonts w:hint="eastAsia"/>
          <w:lang w:val="en-US" w:eastAsia="zh-CN"/>
        </w:rPr>
        <w:t xml:space="preserve"> 核心检索词及其他检索词</w:t>
      </w:r>
    </w:p>
    <w:p w14:paraId="38B9A0A6">
      <w:pPr>
        <w:pStyle w:val="6"/>
        <w:keepNext/>
        <w:keepLines w:val="0"/>
        <w:pageBreakBefore w:val="0"/>
        <w:widowControl w:val="0"/>
        <w:kinsoku/>
        <w:wordWrap w:val="0"/>
        <w:overflowPunct/>
        <w:topLinePunct w:val="0"/>
        <w:autoSpaceDE/>
        <w:autoSpaceDN/>
        <w:bidi w:val="0"/>
        <w:adjustRightInd/>
        <w:snapToGrid/>
        <w:textAlignment w:val="auto"/>
        <w:rPr>
          <w:rFonts w:hint="eastAsia" w:eastAsia="黑体"/>
          <w:lang w:val="en-US" w:eastAsia="zh-CN"/>
        </w:rPr>
      </w:pPr>
      <w:r>
        <w:t xml:space="preserve">表 </w:t>
      </w:r>
      <w:r>
        <w:fldChar w:fldCharType="begin"/>
      </w:r>
      <w:r>
        <w:instrText xml:space="preserve"> SEQ 表 \* ARABIC </w:instrText>
      </w:r>
      <w:r>
        <w:fldChar w:fldCharType="separate"/>
      </w:r>
      <w:r>
        <w:t>1</w:t>
      </w:r>
      <w:r>
        <w:fldChar w:fldCharType="end"/>
      </w:r>
      <w:r>
        <w:rPr>
          <w:rFonts w:hint="eastAsia"/>
          <w:lang w:val="en-US" w:eastAsia="zh-CN"/>
        </w:rPr>
        <w:t xml:space="preserve"> </w:t>
      </w:r>
      <w:r>
        <w:rPr>
          <w:rFonts w:hint="eastAsia"/>
        </w:rPr>
        <w:t>中外文信息源及检索式（词）</w:t>
      </w:r>
    </w:p>
    <w:tbl>
      <w:tblPr>
        <w:tblStyle w:val="8"/>
        <w:tblW w:w="9035" w:type="dxa"/>
        <w:jc w:val="center"/>
        <w:tblLayout w:type="autofit"/>
        <w:tblCellMar>
          <w:top w:w="0" w:type="dxa"/>
          <w:left w:w="108" w:type="dxa"/>
          <w:bottom w:w="0" w:type="dxa"/>
          <w:right w:w="108" w:type="dxa"/>
        </w:tblCellMar>
      </w:tblPr>
      <w:tblGrid>
        <w:gridCol w:w="936"/>
        <w:gridCol w:w="1407"/>
        <w:gridCol w:w="2410"/>
        <w:gridCol w:w="4762"/>
      </w:tblGrid>
      <w:tr w14:paraId="224FF8D2">
        <w:tblPrEx>
          <w:tblCellMar>
            <w:top w:w="0" w:type="dxa"/>
            <w:left w:w="108" w:type="dxa"/>
            <w:bottom w:w="0" w:type="dxa"/>
            <w:right w:w="108" w:type="dxa"/>
          </w:tblCellMar>
        </w:tblPrEx>
        <w:trPr>
          <w:trHeight w:val="291" w:hRule="atLeast"/>
          <w:jc w:val="center"/>
        </w:trPr>
        <w:tc>
          <w:tcPr>
            <w:tcW w:w="1863" w:type="dxa"/>
            <w:gridSpan w:val="2"/>
            <w:tcBorders>
              <w:top w:val="single" w:color="auto" w:sz="12" w:space="0"/>
              <w:left w:val="nil"/>
              <w:bottom w:val="single" w:color="auto" w:sz="4" w:space="0"/>
              <w:right w:val="nil"/>
            </w:tcBorders>
            <w:shd w:val="clear" w:color="auto" w:fill="auto"/>
            <w:noWrap/>
            <w:vAlign w:val="center"/>
          </w:tcPr>
          <w:p w14:paraId="124F2E03">
            <w:pPr>
              <w:bidi w:val="0"/>
              <w:jc w:val="both"/>
              <w:rPr>
                <w:rFonts w:ascii="Times New Roman" w:hAnsi="Times New Roman" w:eastAsia="宋体"/>
                <w:b/>
                <w:bCs/>
                <w:sz w:val="24"/>
              </w:rPr>
            </w:pPr>
            <w:r>
              <w:rPr>
                <w:rFonts w:hint="eastAsia" w:ascii="Times New Roman" w:hAnsi="Times New Roman" w:eastAsia="宋体"/>
                <w:b/>
                <w:bCs/>
                <w:sz w:val="24"/>
              </w:rPr>
              <w:t>数据库类型</w:t>
            </w:r>
          </w:p>
        </w:tc>
        <w:tc>
          <w:tcPr>
            <w:tcW w:w="2410" w:type="dxa"/>
            <w:tcBorders>
              <w:top w:val="single" w:color="auto" w:sz="12" w:space="0"/>
              <w:left w:val="nil"/>
              <w:bottom w:val="single" w:color="auto" w:sz="4" w:space="0"/>
              <w:right w:val="nil"/>
            </w:tcBorders>
            <w:shd w:val="clear" w:color="auto" w:fill="auto"/>
            <w:noWrap/>
            <w:vAlign w:val="center"/>
          </w:tcPr>
          <w:p w14:paraId="06C6587B">
            <w:pPr>
              <w:bidi w:val="0"/>
              <w:jc w:val="center"/>
              <w:rPr>
                <w:rFonts w:ascii="Times New Roman" w:hAnsi="Times New Roman" w:eastAsia="宋体"/>
                <w:b/>
                <w:bCs/>
                <w:sz w:val="24"/>
              </w:rPr>
            </w:pPr>
            <w:r>
              <w:rPr>
                <w:rFonts w:hint="eastAsia" w:ascii="Times New Roman" w:hAnsi="Times New Roman" w:eastAsia="宋体"/>
                <w:b/>
                <w:bCs/>
                <w:sz w:val="24"/>
              </w:rPr>
              <w:t>信息源名称</w:t>
            </w:r>
          </w:p>
        </w:tc>
        <w:tc>
          <w:tcPr>
            <w:tcW w:w="4762" w:type="dxa"/>
            <w:tcBorders>
              <w:top w:val="single" w:color="auto" w:sz="12" w:space="0"/>
              <w:left w:val="nil"/>
              <w:bottom w:val="single" w:color="auto" w:sz="4" w:space="0"/>
              <w:right w:val="nil"/>
            </w:tcBorders>
            <w:shd w:val="clear" w:color="auto" w:fill="auto"/>
            <w:noWrap/>
            <w:vAlign w:val="center"/>
          </w:tcPr>
          <w:p w14:paraId="648FEA75">
            <w:pPr>
              <w:bidi w:val="0"/>
              <w:jc w:val="center"/>
              <w:rPr>
                <w:rFonts w:ascii="Times New Roman" w:hAnsi="Times New Roman" w:eastAsia="宋体"/>
                <w:b/>
                <w:bCs/>
                <w:sz w:val="24"/>
              </w:rPr>
            </w:pPr>
            <w:r>
              <w:rPr>
                <w:rFonts w:hint="eastAsia" w:ascii="Times New Roman" w:hAnsi="Times New Roman" w:eastAsia="宋体"/>
                <w:b/>
                <w:bCs/>
                <w:sz w:val="24"/>
              </w:rPr>
              <w:t>检索式/检索词</w:t>
            </w:r>
          </w:p>
        </w:tc>
      </w:tr>
      <w:tr w14:paraId="6FEE059C">
        <w:tblPrEx>
          <w:tblCellMar>
            <w:top w:w="0" w:type="dxa"/>
            <w:left w:w="108" w:type="dxa"/>
            <w:bottom w:w="0" w:type="dxa"/>
            <w:right w:w="108" w:type="dxa"/>
          </w:tblCellMar>
        </w:tblPrEx>
        <w:trPr>
          <w:trHeight w:val="279" w:hRule="atLeast"/>
          <w:jc w:val="center"/>
        </w:trPr>
        <w:tc>
          <w:tcPr>
            <w:tcW w:w="456" w:type="dxa"/>
            <w:vMerge w:val="restart"/>
            <w:tcBorders>
              <w:top w:val="nil"/>
              <w:left w:val="nil"/>
              <w:right w:val="nil"/>
            </w:tcBorders>
            <w:shd w:val="clear" w:color="auto" w:fill="auto"/>
            <w:noWrap/>
            <w:vAlign w:val="center"/>
          </w:tcPr>
          <w:p w14:paraId="4F9A3439">
            <w:pPr>
              <w:bidi w:val="0"/>
              <w:jc w:val="center"/>
              <w:rPr>
                <w:rFonts w:ascii="Times New Roman" w:hAnsi="Times New Roman" w:eastAsia="宋体"/>
                <w:sz w:val="24"/>
              </w:rPr>
            </w:pPr>
            <w:r>
              <w:rPr>
                <w:rFonts w:hint="eastAsia" w:ascii="Times New Roman" w:hAnsi="Times New Roman" w:eastAsia="宋体"/>
                <w:sz w:val="24"/>
              </w:rPr>
              <w:t>中文信息源</w:t>
            </w:r>
          </w:p>
        </w:tc>
        <w:tc>
          <w:tcPr>
            <w:tcW w:w="1407" w:type="dxa"/>
            <w:vMerge w:val="restart"/>
            <w:tcBorders>
              <w:top w:val="nil"/>
              <w:left w:val="nil"/>
              <w:bottom w:val="single" w:color="auto" w:sz="4" w:space="0"/>
              <w:right w:val="nil"/>
            </w:tcBorders>
            <w:shd w:val="clear" w:color="auto" w:fill="auto"/>
            <w:noWrap/>
            <w:vAlign w:val="center"/>
          </w:tcPr>
          <w:p w14:paraId="7A32A07A">
            <w:pPr>
              <w:bidi w:val="0"/>
              <w:jc w:val="center"/>
              <w:rPr>
                <w:rFonts w:ascii="Times New Roman" w:hAnsi="Times New Roman" w:eastAsia="宋体"/>
                <w:sz w:val="24"/>
              </w:rPr>
            </w:pPr>
            <w:r>
              <w:rPr>
                <w:rFonts w:hint="eastAsia" w:ascii="Times New Roman" w:hAnsi="Times New Roman" w:eastAsia="宋体"/>
                <w:sz w:val="24"/>
              </w:rPr>
              <w:t>搜索引擎</w:t>
            </w:r>
          </w:p>
        </w:tc>
        <w:tc>
          <w:tcPr>
            <w:tcW w:w="2410" w:type="dxa"/>
            <w:vMerge w:val="restart"/>
            <w:tcBorders>
              <w:top w:val="nil"/>
              <w:left w:val="nil"/>
              <w:bottom w:val="single" w:color="auto" w:sz="4" w:space="0"/>
              <w:right w:val="nil"/>
            </w:tcBorders>
            <w:shd w:val="clear" w:color="auto" w:fill="auto"/>
            <w:noWrap/>
            <w:vAlign w:val="center"/>
          </w:tcPr>
          <w:p w14:paraId="7CB07FE0">
            <w:pPr>
              <w:bidi w:val="0"/>
              <w:jc w:val="center"/>
              <w:rPr>
                <w:rFonts w:ascii="Times New Roman" w:hAnsi="Times New Roman" w:eastAsia="宋体"/>
                <w:sz w:val="24"/>
              </w:rPr>
            </w:pPr>
            <w:r>
              <w:rPr>
                <w:rFonts w:hint="eastAsia" w:ascii="Times New Roman" w:hAnsi="Times New Roman" w:eastAsia="宋体"/>
                <w:sz w:val="24"/>
              </w:rPr>
              <w:t>百度搜索引擎</w:t>
            </w:r>
          </w:p>
        </w:tc>
        <w:tc>
          <w:tcPr>
            <w:tcW w:w="4762" w:type="dxa"/>
            <w:tcBorders>
              <w:top w:val="nil"/>
              <w:left w:val="nil"/>
              <w:bottom w:val="single" w:color="auto" w:sz="4" w:space="0"/>
              <w:right w:val="nil"/>
            </w:tcBorders>
            <w:shd w:val="clear" w:color="auto" w:fill="auto"/>
            <w:noWrap/>
            <w:vAlign w:val="center"/>
          </w:tcPr>
          <w:p w14:paraId="5C6B3A55">
            <w:pPr>
              <w:bidi w:val="0"/>
              <w:jc w:val="center"/>
              <w:rPr>
                <w:rFonts w:ascii="Times New Roman" w:hAnsi="Times New Roman" w:eastAsia="宋体"/>
                <w:sz w:val="24"/>
              </w:rPr>
            </w:pPr>
            <w:r>
              <w:rPr>
                <w:rFonts w:hint="eastAsia" w:ascii="Times New Roman" w:hAnsi="Times New Roman" w:eastAsia="宋体"/>
                <w:sz w:val="24"/>
                <w:lang w:val="en-US" w:eastAsia="zh-CN"/>
              </w:rPr>
              <w:t>低空</w:t>
            </w:r>
            <w:r>
              <w:rPr>
                <w:rFonts w:hint="eastAsia" w:ascii="Times New Roman" w:hAnsi="Times New Roman" w:eastAsia="宋体"/>
                <w:sz w:val="24"/>
              </w:rPr>
              <w:t>经济；</w:t>
            </w:r>
            <w:r>
              <w:rPr>
                <w:rFonts w:hint="eastAsia" w:ascii="Times New Roman" w:hAnsi="Times New Roman" w:eastAsia="宋体"/>
                <w:sz w:val="24"/>
                <w:lang w:val="en-US" w:eastAsia="zh-CN"/>
              </w:rPr>
              <w:t>无人机产业</w:t>
            </w:r>
            <w:r>
              <w:rPr>
                <w:rFonts w:hint="eastAsia" w:ascii="Times New Roman" w:hAnsi="Times New Roman" w:eastAsia="宋体"/>
                <w:sz w:val="24"/>
              </w:rPr>
              <w:t>；</w:t>
            </w:r>
            <w:r>
              <w:rPr>
                <w:rFonts w:hint="eastAsia" w:ascii="Times New Roman" w:hAnsi="Times New Roman" w:eastAsia="宋体"/>
                <w:sz w:val="24"/>
                <w:lang w:val="en-US" w:eastAsia="zh-CN"/>
              </w:rPr>
              <w:t>智慧农业</w:t>
            </w:r>
            <w:r>
              <w:rPr>
                <w:rFonts w:hint="eastAsia" w:ascii="Times New Roman" w:hAnsi="Times New Roman" w:eastAsia="宋体"/>
                <w:sz w:val="24"/>
              </w:rPr>
              <w:t>；</w:t>
            </w:r>
            <w:r>
              <w:rPr>
                <w:rFonts w:hint="eastAsia" w:ascii="Times New Roman" w:hAnsi="Times New Roman" w:eastAsia="宋体"/>
                <w:sz w:val="24"/>
                <w:lang w:val="en-US" w:eastAsia="zh-CN"/>
              </w:rPr>
              <w:t>物流运输</w:t>
            </w:r>
            <w:r>
              <w:rPr>
                <w:rFonts w:hint="eastAsia" w:ascii="Times New Roman" w:hAnsi="Times New Roman" w:eastAsia="宋体"/>
                <w:sz w:val="24"/>
              </w:rPr>
              <w:t>；</w:t>
            </w:r>
            <w:r>
              <w:rPr>
                <w:rFonts w:hint="eastAsia" w:ascii="Times New Roman" w:hAnsi="Times New Roman" w:eastAsia="宋体"/>
                <w:sz w:val="24"/>
                <w:lang w:val="en-US" w:eastAsia="zh-CN"/>
              </w:rPr>
              <w:t>测绘环保；工业巡检；应急救灾</w:t>
            </w:r>
          </w:p>
        </w:tc>
      </w:tr>
      <w:tr w14:paraId="2773C26F">
        <w:tblPrEx>
          <w:tblCellMar>
            <w:top w:w="0" w:type="dxa"/>
            <w:left w:w="108" w:type="dxa"/>
            <w:bottom w:w="0" w:type="dxa"/>
            <w:right w:w="108" w:type="dxa"/>
          </w:tblCellMar>
        </w:tblPrEx>
        <w:trPr>
          <w:trHeight w:val="279" w:hRule="atLeast"/>
          <w:jc w:val="center"/>
        </w:trPr>
        <w:tc>
          <w:tcPr>
            <w:tcW w:w="456" w:type="dxa"/>
            <w:vMerge w:val="continue"/>
            <w:tcBorders>
              <w:left w:val="nil"/>
              <w:right w:val="nil"/>
            </w:tcBorders>
            <w:vAlign w:val="center"/>
          </w:tcPr>
          <w:p w14:paraId="61F1C593">
            <w:pPr>
              <w:bidi w:val="0"/>
              <w:jc w:val="center"/>
              <w:rPr>
                <w:rFonts w:ascii="Times New Roman" w:hAnsi="Times New Roman" w:eastAsia="宋体"/>
                <w:sz w:val="24"/>
              </w:rPr>
            </w:pPr>
          </w:p>
        </w:tc>
        <w:tc>
          <w:tcPr>
            <w:tcW w:w="1407" w:type="dxa"/>
            <w:vMerge w:val="continue"/>
            <w:tcBorders>
              <w:top w:val="nil"/>
              <w:left w:val="nil"/>
              <w:bottom w:val="single" w:color="auto" w:sz="4" w:space="0"/>
              <w:right w:val="nil"/>
            </w:tcBorders>
            <w:vAlign w:val="center"/>
          </w:tcPr>
          <w:p w14:paraId="792D1A3C">
            <w:pPr>
              <w:bidi w:val="0"/>
              <w:jc w:val="center"/>
              <w:rPr>
                <w:rFonts w:ascii="Times New Roman" w:hAnsi="Times New Roman" w:eastAsia="宋体"/>
                <w:sz w:val="24"/>
              </w:rPr>
            </w:pPr>
          </w:p>
        </w:tc>
        <w:tc>
          <w:tcPr>
            <w:tcW w:w="2410" w:type="dxa"/>
            <w:vMerge w:val="continue"/>
            <w:tcBorders>
              <w:top w:val="nil"/>
              <w:left w:val="nil"/>
              <w:bottom w:val="single" w:color="auto" w:sz="4" w:space="0"/>
              <w:right w:val="nil"/>
            </w:tcBorders>
            <w:vAlign w:val="center"/>
          </w:tcPr>
          <w:p w14:paraId="596AA22B">
            <w:pPr>
              <w:bidi w:val="0"/>
              <w:jc w:val="center"/>
              <w:rPr>
                <w:rFonts w:ascii="Times New Roman" w:hAnsi="Times New Roman" w:eastAsia="宋体"/>
                <w:sz w:val="24"/>
              </w:rPr>
            </w:pPr>
          </w:p>
        </w:tc>
        <w:tc>
          <w:tcPr>
            <w:tcW w:w="4762" w:type="dxa"/>
            <w:tcBorders>
              <w:top w:val="nil"/>
              <w:left w:val="nil"/>
              <w:bottom w:val="single" w:color="auto" w:sz="4" w:space="0"/>
              <w:right w:val="nil"/>
            </w:tcBorders>
            <w:shd w:val="clear" w:color="auto" w:fill="auto"/>
            <w:noWrap/>
            <w:vAlign w:val="center"/>
          </w:tcPr>
          <w:p w14:paraId="4C8D7486">
            <w:pPr>
              <w:bidi w:val="0"/>
              <w:jc w:val="center"/>
              <w:rPr>
                <w:rFonts w:ascii="Times New Roman" w:hAnsi="Times New Roman" w:eastAsia="宋体"/>
                <w:sz w:val="24"/>
              </w:rPr>
            </w:pPr>
            <w:r>
              <w:rPr>
                <w:rFonts w:hint="eastAsia" w:ascii="Times New Roman" w:hAnsi="Times New Roman" w:eastAsia="宋体"/>
                <w:sz w:val="24"/>
              </w:rPr>
              <w:t>Intitle(无人机+低空经济) Filetype:PDF</w:t>
            </w:r>
          </w:p>
        </w:tc>
      </w:tr>
      <w:tr w14:paraId="63E7E438">
        <w:tblPrEx>
          <w:tblCellMar>
            <w:top w:w="0" w:type="dxa"/>
            <w:left w:w="108" w:type="dxa"/>
            <w:bottom w:w="0" w:type="dxa"/>
            <w:right w:w="108" w:type="dxa"/>
          </w:tblCellMar>
        </w:tblPrEx>
        <w:trPr>
          <w:trHeight w:val="327" w:hRule="atLeast"/>
          <w:jc w:val="center"/>
        </w:trPr>
        <w:tc>
          <w:tcPr>
            <w:tcW w:w="456" w:type="dxa"/>
            <w:vMerge w:val="continue"/>
            <w:tcBorders>
              <w:left w:val="nil"/>
              <w:right w:val="nil"/>
            </w:tcBorders>
            <w:vAlign w:val="center"/>
          </w:tcPr>
          <w:p w14:paraId="46AE165F">
            <w:pPr>
              <w:bidi w:val="0"/>
              <w:jc w:val="center"/>
              <w:rPr>
                <w:rFonts w:ascii="Times New Roman" w:hAnsi="Times New Roman" w:eastAsia="宋体"/>
                <w:sz w:val="24"/>
              </w:rPr>
            </w:pPr>
          </w:p>
        </w:tc>
        <w:tc>
          <w:tcPr>
            <w:tcW w:w="1407" w:type="dxa"/>
            <w:vMerge w:val="continue"/>
            <w:tcBorders>
              <w:top w:val="nil"/>
              <w:left w:val="nil"/>
              <w:bottom w:val="single" w:color="auto" w:sz="4" w:space="0"/>
              <w:right w:val="nil"/>
            </w:tcBorders>
            <w:vAlign w:val="center"/>
          </w:tcPr>
          <w:p w14:paraId="6E9CC166">
            <w:pPr>
              <w:bidi w:val="0"/>
              <w:jc w:val="center"/>
              <w:rPr>
                <w:rFonts w:ascii="Times New Roman" w:hAnsi="Times New Roman" w:eastAsia="宋体"/>
                <w:sz w:val="24"/>
              </w:rPr>
            </w:pPr>
          </w:p>
        </w:tc>
        <w:tc>
          <w:tcPr>
            <w:tcW w:w="2410" w:type="dxa"/>
            <w:tcBorders>
              <w:top w:val="nil"/>
              <w:left w:val="nil"/>
              <w:bottom w:val="single" w:color="auto" w:sz="4" w:space="0"/>
              <w:right w:val="nil"/>
            </w:tcBorders>
            <w:shd w:val="clear" w:color="auto" w:fill="auto"/>
            <w:noWrap/>
            <w:vAlign w:val="center"/>
          </w:tcPr>
          <w:p w14:paraId="71161B5B">
            <w:pPr>
              <w:bidi w:val="0"/>
              <w:jc w:val="center"/>
              <w:rPr>
                <w:rFonts w:ascii="Times New Roman" w:hAnsi="Times New Roman" w:eastAsia="宋体"/>
                <w:sz w:val="24"/>
              </w:rPr>
            </w:pPr>
            <w:r>
              <w:rPr>
                <w:rFonts w:hint="eastAsia" w:ascii="Times New Roman" w:hAnsi="Times New Roman" w:eastAsia="宋体"/>
                <w:sz w:val="24"/>
              </w:rPr>
              <w:t>读秀学术搜索引擎</w:t>
            </w:r>
          </w:p>
        </w:tc>
        <w:tc>
          <w:tcPr>
            <w:tcW w:w="4762" w:type="dxa"/>
            <w:tcBorders>
              <w:top w:val="nil"/>
              <w:left w:val="nil"/>
              <w:bottom w:val="single" w:color="auto" w:sz="4" w:space="0"/>
              <w:right w:val="nil"/>
            </w:tcBorders>
            <w:shd w:val="clear" w:color="auto" w:fill="auto"/>
            <w:noWrap/>
            <w:vAlign w:val="center"/>
          </w:tcPr>
          <w:p w14:paraId="2176EA15">
            <w:pPr>
              <w:bidi w:val="0"/>
              <w:jc w:val="center"/>
              <w:rPr>
                <w:rFonts w:ascii="Times New Roman" w:hAnsi="Times New Roman" w:eastAsia="宋体"/>
                <w:sz w:val="24"/>
              </w:rPr>
            </w:pPr>
            <w:r>
              <w:rPr>
                <w:rFonts w:hint="eastAsia" w:ascii="Times New Roman" w:hAnsi="Times New Roman" w:eastAsia="宋体"/>
                <w:sz w:val="24"/>
              </w:rPr>
              <w:t>Su="农业"|"物流运输"|"测绘环保"|"工业巡检"|"应急救灾" AND T="低空经济" AND Su="无人机"</w:t>
            </w:r>
          </w:p>
        </w:tc>
      </w:tr>
      <w:tr w14:paraId="599A9967">
        <w:tblPrEx>
          <w:tblCellMar>
            <w:top w:w="0" w:type="dxa"/>
            <w:left w:w="108" w:type="dxa"/>
            <w:bottom w:w="0" w:type="dxa"/>
            <w:right w:w="108" w:type="dxa"/>
          </w:tblCellMar>
        </w:tblPrEx>
        <w:trPr>
          <w:trHeight w:val="279" w:hRule="atLeast"/>
          <w:jc w:val="center"/>
        </w:trPr>
        <w:tc>
          <w:tcPr>
            <w:tcW w:w="456" w:type="dxa"/>
            <w:vMerge w:val="continue"/>
            <w:tcBorders>
              <w:left w:val="nil"/>
              <w:right w:val="nil"/>
            </w:tcBorders>
            <w:vAlign w:val="center"/>
          </w:tcPr>
          <w:p w14:paraId="35D2461E">
            <w:pPr>
              <w:bidi w:val="0"/>
              <w:jc w:val="center"/>
              <w:rPr>
                <w:rFonts w:ascii="Times New Roman" w:hAnsi="Times New Roman" w:eastAsia="宋体"/>
                <w:sz w:val="24"/>
              </w:rPr>
            </w:pPr>
          </w:p>
        </w:tc>
        <w:tc>
          <w:tcPr>
            <w:tcW w:w="1407" w:type="dxa"/>
            <w:vMerge w:val="restart"/>
            <w:tcBorders>
              <w:top w:val="nil"/>
              <w:left w:val="nil"/>
              <w:bottom w:val="single" w:color="auto" w:sz="4" w:space="0"/>
              <w:right w:val="nil"/>
            </w:tcBorders>
            <w:shd w:val="clear" w:color="auto" w:fill="auto"/>
            <w:noWrap/>
            <w:vAlign w:val="center"/>
          </w:tcPr>
          <w:p w14:paraId="79E9DB8C">
            <w:pPr>
              <w:bidi w:val="0"/>
              <w:jc w:val="center"/>
              <w:rPr>
                <w:rFonts w:ascii="Times New Roman" w:hAnsi="Times New Roman" w:eastAsia="宋体"/>
                <w:sz w:val="24"/>
              </w:rPr>
            </w:pPr>
            <w:r>
              <w:rPr>
                <w:rFonts w:hint="eastAsia" w:ascii="Times New Roman" w:hAnsi="Times New Roman" w:eastAsia="宋体"/>
                <w:sz w:val="24"/>
              </w:rPr>
              <w:t>政府网站</w:t>
            </w:r>
          </w:p>
        </w:tc>
        <w:tc>
          <w:tcPr>
            <w:tcW w:w="2410" w:type="dxa"/>
            <w:tcBorders>
              <w:top w:val="nil"/>
              <w:left w:val="nil"/>
              <w:bottom w:val="single" w:color="auto" w:sz="4" w:space="0"/>
              <w:right w:val="nil"/>
            </w:tcBorders>
            <w:shd w:val="clear" w:color="auto" w:fill="auto"/>
            <w:noWrap/>
            <w:vAlign w:val="center"/>
          </w:tcPr>
          <w:p w14:paraId="3053ADA5">
            <w:pPr>
              <w:bidi w:val="0"/>
              <w:jc w:val="center"/>
              <w:rPr>
                <w:rFonts w:hint="default" w:ascii="Times New Roman" w:hAnsi="Times New Roman" w:eastAsia="宋体"/>
                <w:sz w:val="24"/>
                <w:lang w:val="en-US" w:eastAsia="zh-CN"/>
              </w:rPr>
            </w:pPr>
            <w:r>
              <w:rPr>
                <w:rFonts w:hint="eastAsia" w:ascii="Times New Roman" w:hAnsi="Times New Roman" w:eastAsia="宋体"/>
                <w:sz w:val="24"/>
                <w:lang w:val="en-US" w:eastAsia="zh-CN"/>
              </w:rPr>
              <w:t>中华人民共和国中央人民政府</w:t>
            </w:r>
          </w:p>
        </w:tc>
        <w:tc>
          <w:tcPr>
            <w:tcW w:w="4762" w:type="dxa"/>
            <w:vMerge w:val="restart"/>
            <w:tcBorders>
              <w:top w:val="nil"/>
              <w:left w:val="nil"/>
              <w:bottom w:val="single" w:color="auto" w:sz="4" w:space="0"/>
              <w:right w:val="nil"/>
            </w:tcBorders>
            <w:shd w:val="clear" w:color="auto" w:fill="auto"/>
            <w:noWrap/>
            <w:vAlign w:val="center"/>
          </w:tcPr>
          <w:p w14:paraId="11CB684E">
            <w:pPr>
              <w:bidi w:val="0"/>
              <w:jc w:val="center"/>
              <w:rPr>
                <w:rFonts w:ascii="Times New Roman" w:hAnsi="Times New Roman" w:eastAsia="宋体"/>
                <w:sz w:val="24"/>
              </w:rPr>
            </w:pPr>
            <w:r>
              <w:rPr>
                <w:rFonts w:hint="eastAsia" w:ascii="Times New Roman" w:hAnsi="Times New Roman" w:eastAsia="宋体"/>
                <w:sz w:val="24"/>
              </w:rPr>
              <w:t>检索词：</w:t>
            </w:r>
            <w:r>
              <w:rPr>
                <w:rFonts w:hint="eastAsia" w:ascii="Times New Roman" w:hAnsi="Times New Roman" w:eastAsia="宋体"/>
                <w:sz w:val="24"/>
                <w:lang w:eastAsia="zh-CN"/>
              </w:rPr>
              <w:t>“</w:t>
            </w:r>
            <w:r>
              <w:rPr>
                <w:rFonts w:hint="eastAsia" w:ascii="Times New Roman" w:hAnsi="Times New Roman" w:eastAsia="宋体"/>
                <w:sz w:val="24"/>
                <w:lang w:val="en-US" w:eastAsia="zh-CN"/>
              </w:rPr>
              <w:t>无人机播种</w:t>
            </w:r>
            <w:r>
              <w:rPr>
                <w:rFonts w:hint="eastAsia" w:ascii="Times New Roman" w:hAnsi="Times New Roman" w:eastAsia="宋体"/>
                <w:sz w:val="24"/>
                <w:lang w:eastAsia="zh-CN"/>
              </w:rPr>
              <w:t>”“</w:t>
            </w:r>
            <w:r>
              <w:rPr>
                <w:rFonts w:hint="eastAsia" w:ascii="Times New Roman" w:hAnsi="Times New Roman" w:eastAsia="宋体"/>
                <w:sz w:val="24"/>
                <w:lang w:val="en-US" w:eastAsia="zh-CN"/>
              </w:rPr>
              <w:t>无人机配送</w:t>
            </w:r>
            <w:r>
              <w:rPr>
                <w:rFonts w:hint="eastAsia" w:ascii="Times New Roman" w:hAnsi="Times New Roman" w:eastAsia="宋体"/>
                <w:sz w:val="24"/>
                <w:lang w:eastAsia="zh-CN"/>
              </w:rPr>
              <w:t>”“</w:t>
            </w:r>
            <w:r>
              <w:rPr>
                <w:rFonts w:hint="eastAsia" w:ascii="Times New Roman" w:hAnsi="Times New Roman" w:eastAsia="宋体"/>
                <w:sz w:val="24"/>
                <w:lang w:val="en-US" w:eastAsia="zh-CN"/>
              </w:rPr>
              <w:t>无人机测绘</w:t>
            </w:r>
            <w:r>
              <w:rPr>
                <w:rFonts w:hint="eastAsia" w:ascii="Times New Roman" w:hAnsi="Times New Roman" w:eastAsia="宋体"/>
                <w:sz w:val="24"/>
                <w:lang w:eastAsia="zh-CN"/>
              </w:rPr>
              <w:t>”“</w:t>
            </w:r>
            <w:r>
              <w:rPr>
                <w:rFonts w:hint="eastAsia" w:ascii="Times New Roman" w:hAnsi="Times New Roman" w:eastAsia="宋体"/>
                <w:sz w:val="24"/>
                <w:lang w:val="en-US" w:eastAsia="zh-CN"/>
              </w:rPr>
              <w:t>无人机巡检</w:t>
            </w:r>
            <w:r>
              <w:rPr>
                <w:rFonts w:hint="eastAsia" w:ascii="Times New Roman" w:hAnsi="Times New Roman" w:eastAsia="宋体"/>
                <w:sz w:val="24"/>
                <w:lang w:eastAsia="zh-CN"/>
              </w:rPr>
              <w:t>”</w:t>
            </w:r>
          </w:p>
        </w:tc>
      </w:tr>
      <w:tr w14:paraId="349A9EA7">
        <w:tblPrEx>
          <w:tblCellMar>
            <w:top w:w="0" w:type="dxa"/>
            <w:left w:w="108" w:type="dxa"/>
            <w:bottom w:w="0" w:type="dxa"/>
            <w:right w:w="108" w:type="dxa"/>
          </w:tblCellMar>
        </w:tblPrEx>
        <w:trPr>
          <w:trHeight w:val="389" w:hRule="atLeast"/>
          <w:jc w:val="center"/>
        </w:trPr>
        <w:tc>
          <w:tcPr>
            <w:tcW w:w="456" w:type="dxa"/>
            <w:vMerge w:val="continue"/>
            <w:tcBorders>
              <w:left w:val="nil"/>
              <w:right w:val="nil"/>
            </w:tcBorders>
            <w:vAlign w:val="center"/>
          </w:tcPr>
          <w:p w14:paraId="6E11C1C2">
            <w:pPr>
              <w:bidi w:val="0"/>
              <w:jc w:val="center"/>
              <w:rPr>
                <w:rFonts w:ascii="Times New Roman" w:hAnsi="Times New Roman" w:eastAsia="宋体"/>
                <w:sz w:val="24"/>
              </w:rPr>
            </w:pPr>
          </w:p>
        </w:tc>
        <w:tc>
          <w:tcPr>
            <w:tcW w:w="1407" w:type="dxa"/>
            <w:vMerge w:val="continue"/>
            <w:tcBorders>
              <w:top w:val="nil"/>
              <w:left w:val="nil"/>
              <w:bottom w:val="single" w:color="auto" w:sz="4" w:space="0"/>
              <w:right w:val="nil"/>
            </w:tcBorders>
            <w:vAlign w:val="center"/>
          </w:tcPr>
          <w:p w14:paraId="5002574F">
            <w:pPr>
              <w:bidi w:val="0"/>
              <w:jc w:val="center"/>
              <w:rPr>
                <w:rFonts w:ascii="Times New Roman" w:hAnsi="Times New Roman" w:eastAsia="宋体"/>
                <w:sz w:val="24"/>
              </w:rPr>
            </w:pPr>
          </w:p>
        </w:tc>
        <w:tc>
          <w:tcPr>
            <w:tcW w:w="2410" w:type="dxa"/>
            <w:tcBorders>
              <w:top w:val="nil"/>
              <w:left w:val="nil"/>
              <w:bottom w:val="single" w:color="auto" w:sz="4" w:space="0"/>
              <w:right w:val="nil"/>
            </w:tcBorders>
            <w:shd w:val="clear" w:color="auto" w:fill="auto"/>
            <w:noWrap/>
            <w:vAlign w:val="center"/>
          </w:tcPr>
          <w:p w14:paraId="74EAC11D">
            <w:pPr>
              <w:bidi w:val="0"/>
              <w:jc w:val="center"/>
              <w:rPr>
                <w:rFonts w:hint="default" w:ascii="Times New Roman" w:hAnsi="Times New Roman" w:eastAsia="宋体"/>
                <w:sz w:val="24"/>
                <w:lang w:val="en-US" w:eastAsia="zh-CN"/>
              </w:rPr>
            </w:pPr>
            <w:r>
              <w:rPr>
                <w:rFonts w:hint="eastAsia" w:ascii="Times New Roman" w:hAnsi="Times New Roman" w:eastAsia="宋体"/>
                <w:sz w:val="24"/>
                <w:lang w:val="en-US" w:eastAsia="zh-CN"/>
              </w:rPr>
              <w:t>中国政府网</w:t>
            </w:r>
          </w:p>
        </w:tc>
        <w:tc>
          <w:tcPr>
            <w:tcW w:w="4762" w:type="dxa"/>
            <w:vMerge w:val="continue"/>
            <w:tcBorders>
              <w:top w:val="nil"/>
              <w:left w:val="nil"/>
              <w:bottom w:val="single" w:color="auto" w:sz="4" w:space="0"/>
              <w:right w:val="nil"/>
            </w:tcBorders>
            <w:vAlign w:val="center"/>
          </w:tcPr>
          <w:p w14:paraId="096DB21C">
            <w:pPr>
              <w:bidi w:val="0"/>
              <w:jc w:val="center"/>
              <w:rPr>
                <w:rFonts w:ascii="Times New Roman" w:hAnsi="Times New Roman" w:eastAsia="宋体"/>
                <w:sz w:val="24"/>
              </w:rPr>
            </w:pPr>
          </w:p>
        </w:tc>
      </w:tr>
      <w:tr w14:paraId="403C9293">
        <w:tblPrEx>
          <w:tblCellMar>
            <w:top w:w="0" w:type="dxa"/>
            <w:left w:w="108" w:type="dxa"/>
            <w:bottom w:w="0" w:type="dxa"/>
            <w:right w:w="108" w:type="dxa"/>
          </w:tblCellMar>
        </w:tblPrEx>
        <w:trPr>
          <w:trHeight w:val="389" w:hRule="atLeast"/>
          <w:jc w:val="center"/>
        </w:trPr>
        <w:tc>
          <w:tcPr>
            <w:tcW w:w="456" w:type="dxa"/>
            <w:vMerge w:val="continue"/>
            <w:tcBorders>
              <w:left w:val="nil"/>
              <w:right w:val="nil"/>
            </w:tcBorders>
            <w:vAlign w:val="center"/>
          </w:tcPr>
          <w:p w14:paraId="42EE84A4">
            <w:pPr>
              <w:bidi w:val="0"/>
              <w:jc w:val="center"/>
              <w:rPr>
                <w:rFonts w:ascii="Times New Roman" w:hAnsi="Times New Roman" w:eastAsia="宋体"/>
                <w:sz w:val="24"/>
              </w:rPr>
            </w:pPr>
          </w:p>
        </w:tc>
        <w:tc>
          <w:tcPr>
            <w:tcW w:w="1407" w:type="dxa"/>
            <w:tcBorders>
              <w:top w:val="nil"/>
              <w:left w:val="nil"/>
              <w:bottom w:val="single" w:color="auto" w:sz="4" w:space="0"/>
              <w:right w:val="nil"/>
            </w:tcBorders>
            <w:vAlign w:val="center"/>
          </w:tcPr>
          <w:p w14:paraId="48D4936B">
            <w:pPr>
              <w:bidi w:val="0"/>
              <w:jc w:val="center"/>
              <w:rPr>
                <w:rFonts w:hint="default" w:ascii="Times New Roman" w:hAnsi="Times New Roman" w:eastAsia="宋体"/>
                <w:sz w:val="24"/>
                <w:lang w:val="en-US" w:eastAsia="zh-CN"/>
              </w:rPr>
            </w:pPr>
            <w:r>
              <w:rPr>
                <w:rFonts w:hint="eastAsia" w:ascii="Times New Roman" w:hAnsi="Times New Roman" w:eastAsia="宋体"/>
                <w:sz w:val="24"/>
                <w:lang w:val="en-US" w:eastAsia="zh-CN"/>
              </w:rPr>
              <w:t>统计数据库</w:t>
            </w:r>
          </w:p>
        </w:tc>
        <w:tc>
          <w:tcPr>
            <w:tcW w:w="2410" w:type="dxa"/>
            <w:tcBorders>
              <w:top w:val="nil"/>
              <w:left w:val="nil"/>
              <w:bottom w:val="single" w:color="auto" w:sz="4" w:space="0"/>
              <w:right w:val="nil"/>
            </w:tcBorders>
            <w:shd w:val="clear" w:color="auto" w:fill="auto"/>
            <w:noWrap/>
            <w:vAlign w:val="center"/>
          </w:tcPr>
          <w:p w14:paraId="6DB88730">
            <w:pPr>
              <w:bidi w:val="0"/>
              <w:jc w:val="center"/>
              <w:rPr>
                <w:rFonts w:hint="default" w:ascii="Times New Roman" w:hAnsi="Times New Roman" w:eastAsia="宋体"/>
                <w:sz w:val="24"/>
                <w:lang w:val="en-US" w:eastAsia="zh-CN"/>
              </w:rPr>
            </w:pPr>
            <w:r>
              <w:rPr>
                <w:rFonts w:hint="eastAsia" w:ascii="Times New Roman" w:hAnsi="Times New Roman" w:eastAsia="宋体"/>
                <w:sz w:val="24"/>
                <w:lang w:val="en-US" w:eastAsia="zh-CN"/>
              </w:rPr>
              <w:t>EPSDATA</w:t>
            </w:r>
          </w:p>
        </w:tc>
        <w:tc>
          <w:tcPr>
            <w:tcW w:w="4762" w:type="dxa"/>
            <w:tcBorders>
              <w:top w:val="nil"/>
              <w:left w:val="nil"/>
              <w:bottom w:val="single" w:color="auto" w:sz="4" w:space="0"/>
              <w:right w:val="nil"/>
            </w:tcBorders>
            <w:vAlign w:val="center"/>
          </w:tcPr>
          <w:p w14:paraId="19A5BBB5">
            <w:pPr>
              <w:bidi w:val="0"/>
              <w:jc w:val="center"/>
              <w:rPr>
                <w:rFonts w:ascii="Times New Roman" w:hAnsi="Times New Roman" w:eastAsia="宋体"/>
                <w:sz w:val="24"/>
              </w:rPr>
            </w:pPr>
          </w:p>
        </w:tc>
      </w:tr>
      <w:tr w14:paraId="785CBF77">
        <w:tblPrEx>
          <w:tblCellMar>
            <w:top w:w="0" w:type="dxa"/>
            <w:left w:w="108" w:type="dxa"/>
            <w:bottom w:w="0" w:type="dxa"/>
            <w:right w:w="108" w:type="dxa"/>
          </w:tblCellMar>
        </w:tblPrEx>
        <w:trPr>
          <w:trHeight w:val="279" w:hRule="atLeast"/>
          <w:jc w:val="center"/>
        </w:trPr>
        <w:tc>
          <w:tcPr>
            <w:tcW w:w="456" w:type="dxa"/>
            <w:vMerge w:val="continue"/>
            <w:tcBorders>
              <w:left w:val="nil"/>
              <w:right w:val="nil"/>
            </w:tcBorders>
            <w:vAlign w:val="center"/>
          </w:tcPr>
          <w:p w14:paraId="49519966">
            <w:pPr>
              <w:bidi w:val="0"/>
              <w:jc w:val="center"/>
              <w:rPr>
                <w:rFonts w:ascii="Times New Roman" w:hAnsi="Times New Roman" w:eastAsia="宋体"/>
                <w:sz w:val="24"/>
              </w:rPr>
            </w:pPr>
          </w:p>
        </w:tc>
        <w:tc>
          <w:tcPr>
            <w:tcW w:w="1407" w:type="dxa"/>
            <w:vMerge w:val="restart"/>
            <w:tcBorders>
              <w:top w:val="nil"/>
              <w:left w:val="nil"/>
              <w:bottom w:val="single" w:color="auto" w:sz="4" w:space="0"/>
              <w:right w:val="nil"/>
            </w:tcBorders>
            <w:shd w:val="clear" w:color="auto" w:fill="auto"/>
            <w:noWrap/>
            <w:vAlign w:val="center"/>
          </w:tcPr>
          <w:p w14:paraId="6CC37904">
            <w:pPr>
              <w:bidi w:val="0"/>
              <w:jc w:val="center"/>
              <w:rPr>
                <w:rFonts w:ascii="Times New Roman" w:hAnsi="Times New Roman" w:eastAsia="宋体"/>
                <w:sz w:val="24"/>
              </w:rPr>
            </w:pPr>
            <w:r>
              <w:rPr>
                <w:rFonts w:hint="eastAsia" w:ascii="Times New Roman" w:hAnsi="Times New Roman" w:eastAsia="宋体"/>
                <w:sz w:val="24"/>
              </w:rPr>
              <w:t>工具书</w:t>
            </w:r>
          </w:p>
        </w:tc>
        <w:tc>
          <w:tcPr>
            <w:tcW w:w="2410" w:type="dxa"/>
            <w:tcBorders>
              <w:top w:val="nil"/>
              <w:left w:val="nil"/>
              <w:bottom w:val="single" w:color="auto" w:sz="4" w:space="0"/>
              <w:right w:val="nil"/>
            </w:tcBorders>
            <w:shd w:val="clear" w:color="auto" w:fill="auto"/>
            <w:noWrap/>
            <w:vAlign w:val="center"/>
          </w:tcPr>
          <w:p w14:paraId="6546A964">
            <w:pPr>
              <w:bidi w:val="0"/>
              <w:jc w:val="center"/>
              <w:rPr>
                <w:rFonts w:ascii="Times New Roman" w:hAnsi="Times New Roman" w:eastAsia="宋体"/>
                <w:sz w:val="24"/>
              </w:rPr>
            </w:pPr>
            <w:r>
              <w:rPr>
                <w:rFonts w:hint="eastAsia" w:ascii="Times New Roman" w:hAnsi="Times New Roman" w:eastAsia="宋体"/>
                <w:sz w:val="24"/>
              </w:rPr>
              <w:t>CNKI工具书</w:t>
            </w:r>
          </w:p>
        </w:tc>
        <w:tc>
          <w:tcPr>
            <w:tcW w:w="4762" w:type="dxa"/>
            <w:vMerge w:val="restart"/>
            <w:tcBorders>
              <w:top w:val="nil"/>
              <w:left w:val="nil"/>
              <w:bottom w:val="single" w:color="auto" w:sz="4" w:space="0"/>
              <w:right w:val="nil"/>
            </w:tcBorders>
            <w:shd w:val="clear" w:color="auto" w:fill="auto"/>
            <w:noWrap/>
            <w:vAlign w:val="center"/>
          </w:tcPr>
          <w:p w14:paraId="0F66C2A0">
            <w:pPr>
              <w:keepNext w:val="0"/>
              <w:keepLines w:val="0"/>
              <w:widowControl/>
              <w:suppressLineNumbers w:val="0"/>
              <w:jc w:val="left"/>
              <w:rPr>
                <w:rFonts w:ascii="Times New Roman" w:hAnsi="Times New Roman" w:eastAsia="宋体"/>
                <w:sz w:val="24"/>
              </w:rPr>
            </w:pPr>
            <w:r>
              <w:rPr>
                <w:rFonts w:hint="eastAsia" w:ascii="Times New Roman" w:hAnsi="Times New Roman" w:eastAsia="宋体"/>
                <w:sz w:val="24"/>
              </w:rPr>
              <w:t>检索词：</w:t>
            </w:r>
            <w:r>
              <w:rPr>
                <w:rFonts w:hint="eastAsia" w:ascii="Times New Roman" w:hAnsi="Times New Roman" w:eastAsia="宋体"/>
                <w:sz w:val="24"/>
                <w:lang w:eastAsia="zh-CN"/>
              </w:rPr>
              <w:t>“</w:t>
            </w:r>
            <w:r>
              <w:rPr>
                <w:rFonts w:hint="eastAsia" w:ascii="Times New Roman" w:hAnsi="Times New Roman" w:eastAsia="宋体"/>
                <w:sz w:val="24"/>
                <w:lang w:val="en-US" w:eastAsia="zh-CN"/>
              </w:rPr>
              <w:t>低空</w:t>
            </w:r>
            <w:r>
              <w:rPr>
                <w:rFonts w:hint="eastAsia" w:ascii="Times New Roman" w:hAnsi="Times New Roman" w:eastAsia="宋体"/>
                <w:sz w:val="24"/>
                <w:lang w:eastAsia="zh-CN"/>
              </w:rPr>
              <w:t>”“</w:t>
            </w:r>
            <w:r>
              <w:rPr>
                <w:rFonts w:hint="eastAsia" w:ascii="Times New Roman" w:hAnsi="Times New Roman" w:eastAsia="宋体"/>
                <w:sz w:val="24"/>
                <w:lang w:val="en-US" w:eastAsia="zh-CN"/>
              </w:rPr>
              <w:t>低空经济</w:t>
            </w:r>
            <w:r>
              <w:rPr>
                <w:rFonts w:hint="eastAsia" w:ascii="Times New Roman" w:hAnsi="Times New Roman" w:eastAsia="宋体"/>
                <w:sz w:val="24"/>
                <w:lang w:eastAsia="zh-CN"/>
              </w:rPr>
              <w:t>”“</w:t>
            </w:r>
            <w:r>
              <w:rPr>
                <w:rFonts w:hint="eastAsia" w:ascii="宋体" w:hAnsi="宋体" w:eastAsia="宋体" w:cs="宋体"/>
                <w:kern w:val="0"/>
                <w:sz w:val="24"/>
                <w:szCs w:val="24"/>
                <w:lang w:val="en-US" w:eastAsia="zh-CN" w:bidi="ar"/>
              </w:rPr>
              <w:t>无人机</w:t>
            </w:r>
            <w:r>
              <w:rPr>
                <w:rFonts w:hint="eastAsia" w:ascii="Times New Roman" w:hAnsi="Times New Roman" w:eastAsia="宋体"/>
                <w:sz w:val="24"/>
                <w:lang w:eastAsia="zh-CN"/>
              </w:rPr>
              <w:t>”“</w:t>
            </w:r>
            <w:r>
              <w:rPr>
                <w:rFonts w:ascii="宋体" w:hAnsi="宋体" w:eastAsia="宋体" w:cs="宋体"/>
                <w:kern w:val="0"/>
                <w:sz w:val="24"/>
                <w:szCs w:val="24"/>
                <w:lang w:val="en-US" w:eastAsia="zh-CN" w:bidi="ar"/>
              </w:rPr>
              <w:t>无人机植保</w:t>
            </w:r>
            <w:r>
              <w:rPr>
                <w:rFonts w:hint="eastAsia" w:ascii="Times New Roman" w:hAnsi="Times New Roman" w:eastAsia="宋体"/>
                <w:sz w:val="24"/>
                <w:lang w:eastAsia="zh-CN"/>
              </w:rPr>
              <w:t>”“</w:t>
            </w:r>
            <w:r>
              <w:rPr>
                <w:rFonts w:hint="eastAsia" w:ascii="Times New Roman" w:hAnsi="Times New Roman" w:eastAsia="宋体"/>
                <w:sz w:val="24"/>
                <w:lang w:val="en-US" w:eastAsia="zh-CN"/>
              </w:rPr>
              <w:t>无人机救援</w:t>
            </w:r>
            <w:r>
              <w:rPr>
                <w:rFonts w:hint="eastAsia" w:ascii="Times New Roman" w:hAnsi="Times New Roman" w:eastAsia="宋体"/>
                <w:sz w:val="24"/>
                <w:lang w:eastAsia="zh-CN"/>
              </w:rPr>
              <w:t>”“</w:t>
            </w:r>
            <w:r>
              <w:rPr>
                <w:rFonts w:hint="eastAsia" w:ascii="Times New Roman" w:hAnsi="Times New Roman" w:eastAsia="宋体"/>
                <w:sz w:val="24"/>
                <w:lang w:val="en-US" w:eastAsia="zh-CN"/>
              </w:rPr>
              <w:t>无人机巡检</w:t>
            </w:r>
            <w:r>
              <w:rPr>
                <w:rFonts w:hint="eastAsia" w:ascii="Times New Roman" w:hAnsi="Times New Roman" w:eastAsia="宋体"/>
                <w:sz w:val="24"/>
                <w:lang w:eastAsia="zh-CN"/>
              </w:rPr>
              <w:t>”</w:t>
            </w:r>
          </w:p>
        </w:tc>
      </w:tr>
      <w:tr w14:paraId="3DE4D85C">
        <w:tblPrEx>
          <w:tblCellMar>
            <w:top w:w="0" w:type="dxa"/>
            <w:left w:w="108" w:type="dxa"/>
            <w:bottom w:w="0" w:type="dxa"/>
            <w:right w:w="108" w:type="dxa"/>
          </w:tblCellMar>
        </w:tblPrEx>
        <w:trPr>
          <w:trHeight w:val="279" w:hRule="atLeast"/>
          <w:jc w:val="center"/>
        </w:trPr>
        <w:tc>
          <w:tcPr>
            <w:tcW w:w="456" w:type="dxa"/>
            <w:vMerge w:val="continue"/>
            <w:tcBorders>
              <w:left w:val="nil"/>
              <w:right w:val="nil"/>
            </w:tcBorders>
            <w:vAlign w:val="center"/>
          </w:tcPr>
          <w:p w14:paraId="5F33E39F">
            <w:pPr>
              <w:bidi w:val="0"/>
              <w:jc w:val="center"/>
              <w:rPr>
                <w:rFonts w:ascii="Times New Roman" w:hAnsi="Times New Roman" w:eastAsia="宋体"/>
                <w:sz w:val="24"/>
              </w:rPr>
            </w:pPr>
          </w:p>
        </w:tc>
        <w:tc>
          <w:tcPr>
            <w:tcW w:w="1407" w:type="dxa"/>
            <w:vMerge w:val="continue"/>
            <w:tcBorders>
              <w:top w:val="nil"/>
              <w:left w:val="nil"/>
              <w:bottom w:val="single" w:color="auto" w:sz="4" w:space="0"/>
              <w:right w:val="nil"/>
            </w:tcBorders>
            <w:vAlign w:val="center"/>
          </w:tcPr>
          <w:p w14:paraId="22A43DF0">
            <w:pPr>
              <w:bidi w:val="0"/>
              <w:jc w:val="center"/>
              <w:rPr>
                <w:rFonts w:ascii="Times New Roman" w:hAnsi="Times New Roman" w:eastAsia="宋体"/>
                <w:sz w:val="24"/>
              </w:rPr>
            </w:pPr>
          </w:p>
        </w:tc>
        <w:tc>
          <w:tcPr>
            <w:tcW w:w="2410" w:type="dxa"/>
            <w:tcBorders>
              <w:top w:val="nil"/>
              <w:left w:val="nil"/>
              <w:bottom w:val="single" w:color="auto" w:sz="4" w:space="0"/>
              <w:right w:val="nil"/>
            </w:tcBorders>
            <w:shd w:val="clear" w:color="auto" w:fill="auto"/>
            <w:noWrap/>
            <w:vAlign w:val="center"/>
          </w:tcPr>
          <w:p w14:paraId="69FCD779">
            <w:pPr>
              <w:bidi w:val="0"/>
              <w:jc w:val="center"/>
              <w:rPr>
                <w:rFonts w:ascii="Times New Roman" w:hAnsi="Times New Roman" w:eastAsia="宋体"/>
                <w:sz w:val="24"/>
              </w:rPr>
            </w:pPr>
            <w:r>
              <w:rPr>
                <w:rFonts w:hint="eastAsia" w:ascii="Times New Roman" w:hAnsi="Times New Roman" w:eastAsia="宋体"/>
                <w:sz w:val="24"/>
              </w:rPr>
              <w:t>术语在线</w:t>
            </w:r>
          </w:p>
        </w:tc>
        <w:tc>
          <w:tcPr>
            <w:tcW w:w="4762" w:type="dxa"/>
            <w:vMerge w:val="continue"/>
            <w:tcBorders>
              <w:top w:val="nil"/>
              <w:left w:val="nil"/>
              <w:bottom w:val="single" w:color="auto" w:sz="4" w:space="0"/>
              <w:right w:val="nil"/>
            </w:tcBorders>
            <w:vAlign w:val="center"/>
          </w:tcPr>
          <w:p w14:paraId="48E238A1">
            <w:pPr>
              <w:bidi w:val="0"/>
              <w:jc w:val="center"/>
              <w:rPr>
                <w:rFonts w:ascii="Times New Roman" w:hAnsi="Times New Roman" w:eastAsia="宋体"/>
                <w:sz w:val="24"/>
              </w:rPr>
            </w:pPr>
          </w:p>
        </w:tc>
      </w:tr>
      <w:tr w14:paraId="46DFAF85">
        <w:tblPrEx>
          <w:tblCellMar>
            <w:top w:w="0" w:type="dxa"/>
            <w:left w:w="108" w:type="dxa"/>
            <w:bottom w:w="0" w:type="dxa"/>
            <w:right w:w="108" w:type="dxa"/>
          </w:tblCellMar>
        </w:tblPrEx>
        <w:trPr>
          <w:trHeight w:val="279" w:hRule="atLeast"/>
          <w:jc w:val="center"/>
        </w:trPr>
        <w:tc>
          <w:tcPr>
            <w:tcW w:w="456" w:type="dxa"/>
            <w:vMerge w:val="continue"/>
            <w:tcBorders>
              <w:left w:val="nil"/>
              <w:right w:val="nil"/>
            </w:tcBorders>
            <w:vAlign w:val="center"/>
          </w:tcPr>
          <w:p w14:paraId="5BB1E93E">
            <w:pPr>
              <w:bidi w:val="0"/>
              <w:jc w:val="center"/>
              <w:rPr>
                <w:rFonts w:ascii="Times New Roman" w:hAnsi="Times New Roman" w:eastAsia="宋体"/>
                <w:sz w:val="24"/>
              </w:rPr>
            </w:pPr>
          </w:p>
        </w:tc>
        <w:tc>
          <w:tcPr>
            <w:tcW w:w="1407" w:type="dxa"/>
            <w:vMerge w:val="restart"/>
            <w:tcBorders>
              <w:top w:val="nil"/>
              <w:left w:val="nil"/>
              <w:right w:val="nil"/>
            </w:tcBorders>
            <w:shd w:val="clear" w:color="auto" w:fill="auto"/>
            <w:noWrap/>
            <w:vAlign w:val="center"/>
          </w:tcPr>
          <w:p w14:paraId="65E80EA4">
            <w:pPr>
              <w:bidi w:val="0"/>
              <w:jc w:val="center"/>
              <w:rPr>
                <w:rFonts w:ascii="Times New Roman" w:hAnsi="Times New Roman" w:eastAsia="宋体"/>
                <w:sz w:val="24"/>
              </w:rPr>
            </w:pPr>
            <w:r>
              <w:rPr>
                <w:rFonts w:hint="eastAsia" w:ascii="Times New Roman" w:hAnsi="Times New Roman" w:eastAsia="宋体"/>
                <w:sz w:val="24"/>
              </w:rPr>
              <w:t>全文数据库</w:t>
            </w:r>
          </w:p>
        </w:tc>
        <w:tc>
          <w:tcPr>
            <w:tcW w:w="2410" w:type="dxa"/>
            <w:tcBorders>
              <w:top w:val="nil"/>
              <w:left w:val="nil"/>
              <w:bottom w:val="single" w:color="auto" w:sz="4" w:space="0"/>
              <w:right w:val="nil"/>
            </w:tcBorders>
            <w:shd w:val="clear" w:color="auto" w:fill="auto"/>
            <w:noWrap/>
            <w:vAlign w:val="center"/>
          </w:tcPr>
          <w:p w14:paraId="18706715">
            <w:pPr>
              <w:bidi w:val="0"/>
              <w:jc w:val="center"/>
              <w:rPr>
                <w:rFonts w:ascii="Times New Roman" w:hAnsi="Times New Roman" w:eastAsia="宋体"/>
                <w:sz w:val="24"/>
              </w:rPr>
            </w:pPr>
            <w:r>
              <w:rPr>
                <w:rFonts w:hint="eastAsia" w:ascii="Times New Roman" w:hAnsi="Times New Roman" w:eastAsia="宋体"/>
                <w:sz w:val="24"/>
              </w:rPr>
              <w:t>中国知网</w:t>
            </w:r>
          </w:p>
        </w:tc>
        <w:tc>
          <w:tcPr>
            <w:tcW w:w="4762" w:type="dxa"/>
            <w:tcBorders>
              <w:top w:val="nil"/>
              <w:left w:val="nil"/>
              <w:bottom w:val="single" w:color="auto" w:sz="4" w:space="0"/>
              <w:right w:val="nil"/>
            </w:tcBorders>
            <w:shd w:val="clear" w:color="auto" w:fill="auto"/>
            <w:noWrap/>
            <w:vAlign w:val="center"/>
          </w:tcPr>
          <w:p w14:paraId="413DC50E">
            <w:pPr>
              <w:bidi w:val="0"/>
              <w:jc w:val="center"/>
              <w:rPr>
                <w:rFonts w:ascii="Times New Roman" w:hAnsi="Times New Roman" w:eastAsia="宋体"/>
                <w:sz w:val="24"/>
              </w:rPr>
            </w:pPr>
            <w:r>
              <w:rPr>
                <w:rFonts w:hint="eastAsia" w:ascii="Times New Roman" w:hAnsi="Times New Roman" w:eastAsia="宋体"/>
                <w:sz w:val="24"/>
                <w:highlight w:val="none"/>
              </w:rPr>
              <w:t>来源类别=</w:t>
            </w:r>
            <w:r>
              <w:rPr>
                <w:rFonts w:hint="eastAsia" w:ascii="Times New Roman" w:hAnsi="Times New Roman" w:eastAsia="宋体"/>
                <w:sz w:val="24"/>
                <w:highlight w:val="none"/>
                <w:lang w:val="en-US" w:eastAsia="zh-CN"/>
              </w:rPr>
              <w:t>北大核心</w:t>
            </w:r>
            <w:r>
              <w:rPr>
                <w:rFonts w:hint="eastAsia" w:ascii="Times New Roman" w:hAnsi="Times New Roman" w:eastAsia="宋体"/>
                <w:sz w:val="24"/>
                <w:highlight w:val="none"/>
              </w:rPr>
              <w:t xml:space="preserve"> or CSSCI</w:t>
            </w:r>
          </w:p>
        </w:tc>
      </w:tr>
      <w:tr w14:paraId="3CED5AC4">
        <w:tblPrEx>
          <w:tblCellMar>
            <w:top w:w="0" w:type="dxa"/>
            <w:left w:w="108" w:type="dxa"/>
            <w:bottom w:w="0" w:type="dxa"/>
            <w:right w:w="108" w:type="dxa"/>
          </w:tblCellMar>
        </w:tblPrEx>
        <w:trPr>
          <w:trHeight w:val="279" w:hRule="atLeast"/>
          <w:jc w:val="center"/>
        </w:trPr>
        <w:tc>
          <w:tcPr>
            <w:tcW w:w="456" w:type="dxa"/>
            <w:vMerge w:val="continue"/>
            <w:tcBorders>
              <w:left w:val="nil"/>
              <w:bottom w:val="single" w:color="auto" w:sz="4" w:space="0"/>
              <w:right w:val="nil"/>
            </w:tcBorders>
            <w:vAlign w:val="center"/>
          </w:tcPr>
          <w:p w14:paraId="22D14E68">
            <w:pPr>
              <w:bidi w:val="0"/>
              <w:jc w:val="center"/>
              <w:rPr>
                <w:rFonts w:ascii="Times New Roman" w:hAnsi="Times New Roman" w:eastAsia="宋体"/>
                <w:sz w:val="24"/>
              </w:rPr>
            </w:pPr>
          </w:p>
        </w:tc>
        <w:tc>
          <w:tcPr>
            <w:tcW w:w="1407" w:type="dxa"/>
            <w:vMerge w:val="continue"/>
            <w:tcBorders>
              <w:left w:val="nil"/>
              <w:bottom w:val="single" w:color="auto" w:sz="4" w:space="0"/>
              <w:right w:val="nil"/>
            </w:tcBorders>
            <w:vAlign w:val="center"/>
          </w:tcPr>
          <w:p w14:paraId="2E06065A">
            <w:pPr>
              <w:bidi w:val="0"/>
              <w:jc w:val="center"/>
              <w:rPr>
                <w:rFonts w:ascii="Times New Roman" w:hAnsi="Times New Roman" w:eastAsia="宋体"/>
                <w:sz w:val="24"/>
              </w:rPr>
            </w:pPr>
          </w:p>
        </w:tc>
        <w:tc>
          <w:tcPr>
            <w:tcW w:w="2410" w:type="dxa"/>
            <w:tcBorders>
              <w:top w:val="nil"/>
              <w:left w:val="nil"/>
              <w:bottom w:val="single" w:color="auto" w:sz="4" w:space="0"/>
              <w:right w:val="nil"/>
            </w:tcBorders>
            <w:shd w:val="clear" w:color="auto" w:fill="auto"/>
            <w:noWrap/>
            <w:vAlign w:val="center"/>
          </w:tcPr>
          <w:p w14:paraId="331B165C">
            <w:pPr>
              <w:bidi w:val="0"/>
              <w:jc w:val="center"/>
              <w:rPr>
                <w:rFonts w:hint="eastAsia" w:ascii="Times New Roman" w:hAnsi="Times New Roman" w:eastAsia="宋体"/>
                <w:sz w:val="24"/>
                <w:lang w:eastAsia="zh-CN"/>
              </w:rPr>
            </w:pPr>
            <w:r>
              <w:rPr>
                <w:rFonts w:hint="eastAsia" w:ascii="Times New Roman" w:hAnsi="Times New Roman" w:eastAsia="宋体"/>
                <w:sz w:val="24"/>
                <w:lang w:val="en-US" w:eastAsia="zh-CN"/>
              </w:rPr>
              <w:t>万方</w:t>
            </w:r>
          </w:p>
        </w:tc>
        <w:tc>
          <w:tcPr>
            <w:tcW w:w="4762" w:type="dxa"/>
            <w:tcBorders>
              <w:top w:val="nil"/>
              <w:left w:val="nil"/>
              <w:bottom w:val="single" w:color="auto" w:sz="4" w:space="0"/>
              <w:right w:val="nil"/>
            </w:tcBorders>
            <w:vAlign w:val="center"/>
          </w:tcPr>
          <w:p w14:paraId="345B0745">
            <w:pPr>
              <w:bidi w:val="0"/>
              <w:jc w:val="center"/>
              <w:rPr>
                <w:rFonts w:ascii="Times New Roman" w:hAnsi="Times New Roman" w:eastAsia="宋体"/>
                <w:sz w:val="24"/>
              </w:rPr>
            </w:pPr>
            <w:r>
              <w:rPr>
                <w:rFonts w:hint="eastAsia" w:ascii="Times New Roman" w:hAnsi="Times New Roman" w:eastAsia="宋体"/>
                <w:sz w:val="24"/>
              </w:rPr>
              <w:t>主题:("低空经济") and 题名:("无人机") and 题名或关键词:("无人机播种" + "无人机配送" + "无人机测绘" + "无人机巡检")</w:t>
            </w:r>
          </w:p>
        </w:tc>
      </w:tr>
      <w:tr w14:paraId="2A365090">
        <w:tblPrEx>
          <w:tblCellMar>
            <w:top w:w="0" w:type="dxa"/>
            <w:left w:w="108" w:type="dxa"/>
            <w:bottom w:w="0" w:type="dxa"/>
            <w:right w:w="108" w:type="dxa"/>
          </w:tblCellMar>
        </w:tblPrEx>
        <w:trPr>
          <w:trHeight w:val="474" w:hRule="atLeast"/>
          <w:jc w:val="center"/>
        </w:trPr>
        <w:tc>
          <w:tcPr>
            <w:tcW w:w="456" w:type="dxa"/>
            <w:vMerge w:val="restart"/>
            <w:tcBorders>
              <w:left w:val="nil"/>
              <w:right w:val="nil"/>
            </w:tcBorders>
            <w:vAlign w:val="center"/>
          </w:tcPr>
          <w:p w14:paraId="10837E8C">
            <w:pPr>
              <w:bidi w:val="0"/>
              <w:jc w:val="center"/>
              <w:rPr>
                <w:rFonts w:hint="default" w:ascii="Times New Roman" w:hAnsi="Times New Roman" w:eastAsia="宋体"/>
                <w:sz w:val="24"/>
                <w:lang w:val="en-US" w:eastAsia="zh-CN"/>
              </w:rPr>
            </w:pPr>
            <w:r>
              <w:rPr>
                <w:rFonts w:hint="eastAsia" w:ascii="Times New Roman" w:hAnsi="Times New Roman" w:eastAsia="宋体"/>
                <w:sz w:val="24"/>
                <w:lang w:val="en-US" w:eastAsia="zh-CN"/>
              </w:rPr>
              <w:t>外文信息源</w:t>
            </w:r>
          </w:p>
        </w:tc>
        <w:tc>
          <w:tcPr>
            <w:tcW w:w="1407" w:type="dxa"/>
            <w:tcBorders>
              <w:top w:val="nil"/>
              <w:left w:val="nil"/>
              <w:bottom w:val="nil"/>
              <w:right w:val="nil"/>
            </w:tcBorders>
            <w:vAlign w:val="center"/>
          </w:tcPr>
          <w:p w14:paraId="44B8D2B2">
            <w:pPr>
              <w:bidi w:val="0"/>
              <w:jc w:val="center"/>
              <w:rPr>
                <w:rFonts w:ascii="Times New Roman" w:hAnsi="Times New Roman" w:eastAsia="宋体"/>
                <w:sz w:val="24"/>
              </w:rPr>
            </w:pPr>
            <w:r>
              <w:rPr>
                <w:rFonts w:hint="eastAsia" w:ascii="Times New Roman" w:hAnsi="Times New Roman" w:eastAsia="宋体"/>
                <w:sz w:val="24"/>
                <w:lang w:val="en-US" w:eastAsia="zh-CN"/>
              </w:rPr>
              <w:t>工具书</w:t>
            </w:r>
          </w:p>
        </w:tc>
        <w:tc>
          <w:tcPr>
            <w:tcW w:w="2410" w:type="dxa"/>
            <w:tcBorders>
              <w:top w:val="nil"/>
              <w:left w:val="nil"/>
              <w:bottom w:val="nil"/>
              <w:right w:val="nil"/>
            </w:tcBorders>
            <w:shd w:val="clear" w:color="auto" w:fill="auto"/>
            <w:noWrap/>
            <w:vAlign w:val="center"/>
          </w:tcPr>
          <w:p w14:paraId="08BCB36C">
            <w:pPr>
              <w:bidi w:val="0"/>
              <w:jc w:val="center"/>
              <w:rPr>
                <w:rFonts w:ascii="Times New Roman" w:hAnsi="Times New Roman" w:eastAsia="宋体"/>
                <w:sz w:val="24"/>
              </w:rPr>
            </w:pPr>
            <w:r>
              <w:rPr>
                <w:rFonts w:hint="eastAsia" w:ascii="Times New Roman" w:hAnsi="Times New Roman" w:eastAsia="宋体"/>
                <w:sz w:val="24"/>
              </w:rPr>
              <w:t>SpringerLink</w:t>
            </w:r>
          </w:p>
        </w:tc>
        <w:tc>
          <w:tcPr>
            <w:tcW w:w="4762" w:type="dxa"/>
            <w:tcBorders>
              <w:top w:val="nil"/>
              <w:left w:val="nil"/>
              <w:bottom w:val="nil"/>
              <w:right w:val="nil"/>
            </w:tcBorders>
            <w:vAlign w:val="center"/>
          </w:tcPr>
          <w:p w14:paraId="0BF5B8DB">
            <w:pPr>
              <w:bidi w:val="0"/>
              <w:jc w:val="center"/>
              <w:rPr>
                <w:rFonts w:ascii="Times New Roman" w:hAnsi="Times New Roman" w:eastAsia="宋体"/>
                <w:sz w:val="24"/>
              </w:rPr>
            </w:pPr>
            <w:r>
              <w:rPr>
                <w:rFonts w:hint="eastAsia" w:ascii="Times New Roman" w:hAnsi="Times New Roman" w:eastAsia="宋体"/>
                <w:sz w:val="24"/>
              </w:rPr>
              <w:t>检索词："Agricultural drone application"</w:t>
            </w:r>
            <w:r>
              <w:rPr>
                <w:rFonts w:hint="eastAsia" w:ascii="Times New Roman" w:hAnsi="Times New Roman" w:eastAsia="宋体"/>
                <w:sz w:val="24"/>
                <w:lang w:eastAsia="zh-CN"/>
              </w:rPr>
              <w:t>；</w:t>
            </w:r>
            <w:r>
              <w:rPr>
                <w:rFonts w:hint="eastAsia" w:ascii="Times New Roman" w:hAnsi="Times New Roman" w:eastAsia="宋体"/>
                <w:sz w:val="24"/>
              </w:rPr>
              <w:t>"Drone seeding"</w:t>
            </w:r>
            <w:r>
              <w:rPr>
                <w:rFonts w:hint="eastAsia" w:ascii="Times New Roman" w:hAnsi="Times New Roman" w:eastAsia="宋体"/>
                <w:sz w:val="24"/>
                <w:lang w:eastAsia="zh-CN"/>
              </w:rPr>
              <w:t>；</w:t>
            </w:r>
            <w:r>
              <w:rPr>
                <w:rFonts w:hint="eastAsia" w:ascii="Times New Roman" w:hAnsi="Times New Roman" w:eastAsia="宋体"/>
                <w:sz w:val="24"/>
              </w:rPr>
              <w:t>"Farmland mapping drone"</w:t>
            </w:r>
            <w:r>
              <w:rPr>
                <w:rFonts w:hint="eastAsia" w:ascii="Times New Roman" w:hAnsi="Times New Roman" w:eastAsia="宋体"/>
                <w:sz w:val="24"/>
                <w:lang w:eastAsia="zh-CN"/>
              </w:rPr>
              <w:t>；</w:t>
            </w:r>
            <w:r>
              <w:rPr>
                <w:rFonts w:hint="eastAsia" w:ascii="Times New Roman" w:hAnsi="Times New Roman" w:eastAsia="宋体"/>
                <w:sz w:val="24"/>
              </w:rPr>
              <w:t>"Crop monitoring drone"</w:t>
            </w:r>
            <w:r>
              <w:rPr>
                <w:rFonts w:hint="eastAsia" w:ascii="Times New Roman" w:hAnsi="Times New Roman" w:eastAsia="宋体"/>
                <w:sz w:val="24"/>
                <w:lang w:eastAsia="zh-CN"/>
              </w:rPr>
              <w:t>；</w:t>
            </w:r>
            <w:r>
              <w:rPr>
                <w:rFonts w:hint="eastAsia" w:ascii="Times New Roman" w:hAnsi="Times New Roman" w:eastAsia="宋体"/>
                <w:sz w:val="24"/>
              </w:rPr>
              <w:t>"Drone pesticide spraying"</w:t>
            </w:r>
            <w:r>
              <w:rPr>
                <w:rFonts w:hint="eastAsia" w:ascii="Times New Roman" w:hAnsi="Times New Roman" w:eastAsia="宋体"/>
                <w:sz w:val="24"/>
                <w:lang w:eastAsia="zh-CN"/>
              </w:rPr>
              <w:t>；</w:t>
            </w:r>
            <w:r>
              <w:rPr>
                <w:rFonts w:hint="eastAsia" w:ascii="Times New Roman" w:hAnsi="Times New Roman" w:eastAsia="宋体"/>
                <w:sz w:val="24"/>
              </w:rPr>
              <w:t>"Drone delivery"</w:t>
            </w:r>
            <w:r>
              <w:rPr>
                <w:rFonts w:hint="eastAsia" w:ascii="Times New Roman" w:hAnsi="Times New Roman" w:eastAsia="宋体"/>
                <w:sz w:val="24"/>
                <w:lang w:eastAsia="zh-CN"/>
              </w:rPr>
              <w:t>；</w:t>
            </w:r>
            <w:r>
              <w:rPr>
                <w:rFonts w:hint="eastAsia" w:ascii="Times New Roman" w:hAnsi="Times New Roman" w:eastAsia="宋体"/>
                <w:sz w:val="24"/>
              </w:rPr>
              <w:t>"Drone express delivery"</w:t>
            </w:r>
          </w:p>
        </w:tc>
      </w:tr>
      <w:tr w14:paraId="28EA512B">
        <w:tblPrEx>
          <w:tblCellMar>
            <w:top w:w="0" w:type="dxa"/>
            <w:left w:w="108" w:type="dxa"/>
            <w:bottom w:w="0" w:type="dxa"/>
            <w:right w:w="108" w:type="dxa"/>
          </w:tblCellMar>
        </w:tblPrEx>
        <w:trPr>
          <w:trHeight w:val="2465" w:hRule="atLeast"/>
          <w:jc w:val="center"/>
        </w:trPr>
        <w:tc>
          <w:tcPr>
            <w:tcW w:w="456" w:type="dxa"/>
            <w:vMerge w:val="continue"/>
            <w:tcBorders>
              <w:left w:val="nil"/>
              <w:right w:val="nil"/>
            </w:tcBorders>
            <w:vAlign w:val="center"/>
          </w:tcPr>
          <w:p w14:paraId="26B4CE19">
            <w:pPr>
              <w:bidi w:val="0"/>
              <w:jc w:val="center"/>
              <w:rPr>
                <w:rFonts w:hint="eastAsia" w:ascii="Times New Roman" w:hAnsi="Times New Roman" w:eastAsia="宋体"/>
                <w:sz w:val="24"/>
                <w:lang w:val="en-US" w:eastAsia="zh-CN"/>
              </w:rPr>
            </w:pPr>
          </w:p>
        </w:tc>
        <w:tc>
          <w:tcPr>
            <w:tcW w:w="1407" w:type="dxa"/>
            <w:tcBorders>
              <w:top w:val="nil"/>
              <w:left w:val="nil"/>
              <w:bottom w:val="nil"/>
              <w:right w:val="nil"/>
            </w:tcBorders>
            <w:shd w:val="clear" w:color="auto" w:fill="auto"/>
            <w:vAlign w:val="center"/>
          </w:tcPr>
          <w:p w14:paraId="225F9FC1">
            <w:pPr>
              <w:bidi w:val="0"/>
              <w:jc w:val="center"/>
              <w:rPr>
                <w:rFonts w:hint="default" w:ascii="Times New Roman" w:hAnsi="Times New Roman" w:eastAsia="宋体" w:cstheme="minorBidi"/>
                <w:kern w:val="2"/>
                <w:sz w:val="24"/>
                <w:szCs w:val="24"/>
                <w:lang w:val="en-US" w:eastAsia="zh-CN" w:bidi="ar-SA"/>
              </w:rPr>
            </w:pPr>
            <w:r>
              <w:rPr>
                <w:rFonts w:hint="eastAsia" w:ascii="Times New Roman" w:hAnsi="Times New Roman" w:eastAsia="宋体"/>
                <w:sz w:val="24"/>
                <w:lang w:val="en-US" w:eastAsia="zh-CN"/>
              </w:rPr>
              <w:t>索引数据库</w:t>
            </w:r>
          </w:p>
        </w:tc>
        <w:tc>
          <w:tcPr>
            <w:tcW w:w="2410" w:type="dxa"/>
            <w:tcBorders>
              <w:top w:val="nil"/>
              <w:left w:val="nil"/>
              <w:bottom w:val="nil"/>
              <w:right w:val="nil"/>
            </w:tcBorders>
            <w:shd w:val="clear" w:color="auto" w:fill="auto"/>
            <w:noWrap/>
            <w:vAlign w:val="center"/>
          </w:tcPr>
          <w:p w14:paraId="3D62CD17">
            <w:pPr>
              <w:bidi w:val="0"/>
              <w:jc w:val="center"/>
              <w:rPr>
                <w:rFonts w:hint="eastAsia" w:ascii="Times New Roman" w:hAnsi="Times New Roman" w:eastAsia="宋体" w:cstheme="minorBidi"/>
                <w:kern w:val="2"/>
                <w:sz w:val="24"/>
                <w:szCs w:val="24"/>
                <w:lang w:val="en-US" w:eastAsia="zh-CN" w:bidi="ar-SA"/>
              </w:rPr>
            </w:pPr>
            <w:r>
              <w:rPr>
                <w:rFonts w:hint="eastAsia" w:ascii="Times New Roman" w:hAnsi="Times New Roman" w:eastAsia="宋体"/>
                <w:sz w:val="24"/>
              </w:rPr>
              <w:t>Web of Science</w:t>
            </w:r>
          </w:p>
        </w:tc>
        <w:tc>
          <w:tcPr>
            <w:tcW w:w="4762" w:type="dxa"/>
            <w:tcBorders>
              <w:top w:val="nil"/>
              <w:left w:val="nil"/>
              <w:bottom w:val="nil"/>
              <w:right w:val="nil"/>
            </w:tcBorders>
            <w:shd w:val="clear" w:color="auto" w:fill="auto"/>
            <w:vAlign w:val="center"/>
          </w:tcPr>
          <w:p w14:paraId="5BD4E1B6">
            <w:pPr>
              <w:bidi w:val="0"/>
              <w:jc w:val="center"/>
              <w:rPr>
                <w:rFonts w:hint="eastAsia" w:ascii="Times New Roman" w:hAnsi="Times New Roman" w:eastAsia="宋体"/>
                <w:sz w:val="24"/>
                <w:lang w:val="en-US" w:eastAsia="zh-CN"/>
              </w:rPr>
            </w:pPr>
            <w:r>
              <w:rPr>
                <w:rFonts w:hint="eastAsia" w:ascii="Times New Roman" w:hAnsi="Times New Roman" w:eastAsia="宋体"/>
                <w:sz w:val="24"/>
              </w:rPr>
              <w:t>((TS=("low-altitude economy")) OR TI=("Drone") AND TS=("rescue")) OR TS=("Drone surveying  " + " Drone rescue  " + "Emergency disaster relief" + " Drone delivery  ") Publication Date</w:t>
            </w:r>
            <w:r>
              <w:rPr>
                <w:rFonts w:hint="eastAsia" w:ascii="Times New Roman" w:hAnsi="Times New Roman" w:eastAsia="宋体"/>
                <w:sz w:val="24"/>
                <w:lang w:val="en-US" w:eastAsia="zh-CN"/>
              </w:rPr>
              <w:t xml:space="preserve">: </w:t>
            </w:r>
            <w:r>
              <w:rPr>
                <w:rFonts w:hint="default" w:ascii="Times New Roman" w:hAnsi="Times New Roman" w:eastAsia="宋体"/>
                <w:sz w:val="24"/>
              </w:rPr>
              <w:t>Last 5 Years</w:t>
            </w:r>
          </w:p>
        </w:tc>
      </w:tr>
      <w:tr w14:paraId="3BF3848C">
        <w:tblPrEx>
          <w:tblCellMar>
            <w:top w:w="0" w:type="dxa"/>
            <w:left w:w="108" w:type="dxa"/>
            <w:bottom w:w="0" w:type="dxa"/>
            <w:right w:w="108" w:type="dxa"/>
          </w:tblCellMar>
        </w:tblPrEx>
        <w:trPr>
          <w:trHeight w:val="474" w:hRule="atLeast"/>
          <w:jc w:val="center"/>
        </w:trPr>
        <w:tc>
          <w:tcPr>
            <w:tcW w:w="456" w:type="dxa"/>
            <w:vMerge w:val="continue"/>
            <w:tcBorders>
              <w:left w:val="nil"/>
              <w:right w:val="nil"/>
            </w:tcBorders>
            <w:vAlign w:val="center"/>
          </w:tcPr>
          <w:p w14:paraId="79A2A1AC">
            <w:pPr>
              <w:bidi w:val="0"/>
              <w:jc w:val="center"/>
              <w:rPr>
                <w:rFonts w:hint="eastAsia" w:ascii="Times New Roman" w:hAnsi="Times New Roman" w:eastAsia="宋体"/>
                <w:sz w:val="24"/>
                <w:lang w:val="en-US" w:eastAsia="zh-CN"/>
              </w:rPr>
            </w:pPr>
          </w:p>
        </w:tc>
        <w:tc>
          <w:tcPr>
            <w:tcW w:w="1407" w:type="dxa"/>
            <w:vMerge w:val="restart"/>
            <w:tcBorders>
              <w:top w:val="nil"/>
              <w:left w:val="nil"/>
              <w:right w:val="nil"/>
            </w:tcBorders>
            <w:vAlign w:val="center"/>
          </w:tcPr>
          <w:p w14:paraId="285370D6">
            <w:pPr>
              <w:bidi w:val="0"/>
              <w:jc w:val="center"/>
              <w:rPr>
                <w:rFonts w:hint="default" w:ascii="Times New Roman" w:hAnsi="Times New Roman" w:eastAsia="宋体"/>
                <w:sz w:val="24"/>
                <w:lang w:val="en-US" w:eastAsia="zh-CN"/>
              </w:rPr>
            </w:pPr>
            <w:r>
              <w:rPr>
                <w:rFonts w:hint="eastAsia" w:ascii="Times New Roman" w:hAnsi="Times New Roman" w:eastAsia="宋体"/>
                <w:sz w:val="24"/>
                <w:lang w:val="en-US" w:eastAsia="zh-CN"/>
              </w:rPr>
              <w:t>全文数据库</w:t>
            </w:r>
          </w:p>
        </w:tc>
        <w:tc>
          <w:tcPr>
            <w:tcW w:w="2410" w:type="dxa"/>
            <w:tcBorders>
              <w:top w:val="nil"/>
              <w:left w:val="nil"/>
              <w:bottom w:val="nil"/>
              <w:right w:val="nil"/>
            </w:tcBorders>
            <w:shd w:val="clear" w:color="auto" w:fill="auto"/>
            <w:noWrap/>
            <w:vAlign w:val="center"/>
          </w:tcPr>
          <w:p w14:paraId="36324269">
            <w:pPr>
              <w:bidi w:val="0"/>
              <w:jc w:val="center"/>
              <w:rPr>
                <w:rFonts w:hint="eastAsia" w:ascii="Times New Roman" w:hAnsi="Times New Roman" w:eastAsia="宋体"/>
                <w:sz w:val="24"/>
              </w:rPr>
            </w:pPr>
            <w:r>
              <w:rPr>
                <w:rFonts w:hint="eastAsia" w:ascii="Times New Roman" w:hAnsi="Times New Roman" w:eastAsia="宋体"/>
                <w:sz w:val="24"/>
              </w:rPr>
              <w:t>ScienceDirect</w:t>
            </w:r>
          </w:p>
        </w:tc>
        <w:tc>
          <w:tcPr>
            <w:tcW w:w="4762" w:type="dxa"/>
            <w:tcBorders>
              <w:top w:val="nil"/>
              <w:left w:val="nil"/>
              <w:bottom w:val="nil"/>
              <w:right w:val="nil"/>
            </w:tcBorders>
            <w:vAlign w:val="center"/>
          </w:tcPr>
          <w:p w14:paraId="420F4A53">
            <w:pPr>
              <w:bidi w:val="0"/>
              <w:jc w:val="center"/>
              <w:rPr>
                <w:rFonts w:hint="eastAsia" w:ascii="Times New Roman" w:hAnsi="Times New Roman" w:eastAsia="宋体"/>
                <w:sz w:val="24"/>
                <w:lang w:val="en-US" w:eastAsia="zh-CN"/>
              </w:rPr>
            </w:pPr>
            <w:r>
              <w:rPr>
                <w:rFonts w:hint="eastAsia" w:ascii="Times New Roman" w:hAnsi="Times New Roman" w:eastAsia="宋体"/>
                <w:sz w:val="24"/>
                <w:lang w:val="en-US" w:eastAsia="zh-CN"/>
              </w:rPr>
              <w:t>主题：</w:t>
            </w:r>
            <w:r>
              <w:rPr>
                <w:rFonts w:hint="eastAsia" w:ascii="Times New Roman" w:hAnsi="Times New Roman" w:eastAsia="宋体"/>
                <w:sz w:val="24"/>
              </w:rPr>
              <w:t>"low-altitude economy"</w:t>
            </w:r>
            <w:r>
              <w:rPr>
                <w:rFonts w:hint="eastAsia" w:ascii="Times New Roman" w:hAnsi="Times New Roman" w:eastAsia="宋体"/>
                <w:sz w:val="24"/>
                <w:lang w:eastAsia="zh-CN"/>
              </w:rPr>
              <w:t>；</w:t>
            </w:r>
            <w:r>
              <w:rPr>
                <w:rFonts w:hint="eastAsia" w:ascii="Times New Roman" w:hAnsi="Times New Roman" w:eastAsia="宋体"/>
                <w:sz w:val="24"/>
              </w:rPr>
              <w:t>"Drone"</w:t>
            </w:r>
          </w:p>
        </w:tc>
      </w:tr>
      <w:tr w14:paraId="2CB71698">
        <w:tblPrEx>
          <w:tblCellMar>
            <w:top w:w="0" w:type="dxa"/>
            <w:left w:w="108" w:type="dxa"/>
            <w:bottom w:w="0" w:type="dxa"/>
            <w:right w:w="108" w:type="dxa"/>
          </w:tblCellMar>
        </w:tblPrEx>
        <w:trPr>
          <w:trHeight w:val="474" w:hRule="atLeast"/>
          <w:jc w:val="center"/>
        </w:trPr>
        <w:tc>
          <w:tcPr>
            <w:tcW w:w="456" w:type="dxa"/>
            <w:vMerge w:val="continue"/>
            <w:tcBorders>
              <w:left w:val="nil"/>
              <w:bottom w:val="single" w:color="000000" w:sz="12" w:space="0"/>
              <w:right w:val="nil"/>
            </w:tcBorders>
            <w:vAlign w:val="center"/>
          </w:tcPr>
          <w:p w14:paraId="68A2D52C">
            <w:pPr>
              <w:bidi w:val="0"/>
              <w:jc w:val="center"/>
              <w:rPr>
                <w:rFonts w:hint="eastAsia" w:ascii="Times New Roman" w:hAnsi="Times New Roman" w:eastAsia="宋体"/>
                <w:sz w:val="24"/>
                <w:lang w:val="en-US" w:eastAsia="zh-CN"/>
              </w:rPr>
            </w:pPr>
          </w:p>
        </w:tc>
        <w:tc>
          <w:tcPr>
            <w:tcW w:w="1407" w:type="dxa"/>
            <w:vMerge w:val="continue"/>
            <w:tcBorders>
              <w:left w:val="nil"/>
              <w:bottom w:val="single" w:color="000000" w:sz="12" w:space="0"/>
              <w:right w:val="nil"/>
            </w:tcBorders>
            <w:vAlign w:val="center"/>
          </w:tcPr>
          <w:p w14:paraId="26D6A0CD">
            <w:pPr>
              <w:bidi w:val="0"/>
              <w:jc w:val="center"/>
              <w:rPr>
                <w:rFonts w:hint="eastAsia" w:ascii="Times New Roman" w:hAnsi="Times New Roman" w:eastAsia="宋体"/>
                <w:sz w:val="24"/>
                <w:lang w:val="en-US" w:eastAsia="zh-CN"/>
              </w:rPr>
            </w:pPr>
          </w:p>
        </w:tc>
        <w:tc>
          <w:tcPr>
            <w:tcW w:w="2410" w:type="dxa"/>
            <w:tcBorders>
              <w:top w:val="nil"/>
              <w:left w:val="nil"/>
              <w:bottom w:val="single" w:color="auto" w:sz="12" w:space="0"/>
              <w:right w:val="nil"/>
            </w:tcBorders>
            <w:shd w:val="clear" w:color="auto" w:fill="auto"/>
            <w:noWrap/>
            <w:vAlign w:val="center"/>
          </w:tcPr>
          <w:p w14:paraId="71B355D1">
            <w:pPr>
              <w:bidi w:val="0"/>
              <w:jc w:val="center"/>
              <w:rPr>
                <w:rFonts w:hint="eastAsia" w:ascii="Times New Roman" w:hAnsi="Times New Roman" w:eastAsia="宋体"/>
                <w:sz w:val="24"/>
              </w:rPr>
            </w:pPr>
            <w:r>
              <w:rPr>
                <w:rFonts w:hint="eastAsia" w:ascii="Times New Roman" w:hAnsi="Times New Roman" w:eastAsia="宋体"/>
                <w:sz w:val="24"/>
              </w:rPr>
              <w:t>Open Access Library</w:t>
            </w:r>
          </w:p>
        </w:tc>
        <w:tc>
          <w:tcPr>
            <w:tcW w:w="4762" w:type="dxa"/>
            <w:tcBorders>
              <w:top w:val="nil"/>
              <w:left w:val="nil"/>
              <w:bottom w:val="single" w:color="000000" w:sz="12" w:space="0"/>
              <w:right w:val="nil"/>
            </w:tcBorders>
            <w:vAlign w:val="center"/>
          </w:tcPr>
          <w:p w14:paraId="078F11FA">
            <w:pPr>
              <w:bidi w:val="0"/>
              <w:jc w:val="center"/>
              <w:rPr>
                <w:rFonts w:hint="default" w:ascii="Times New Roman" w:hAnsi="Times New Roman" w:eastAsia="宋体"/>
                <w:sz w:val="24"/>
                <w:lang w:val="en-US" w:eastAsia="zh-CN"/>
              </w:rPr>
            </w:pPr>
            <w:r>
              <w:rPr>
                <w:rFonts w:hint="eastAsia" w:ascii="Times New Roman" w:hAnsi="Times New Roman" w:eastAsia="宋体"/>
                <w:sz w:val="24"/>
              </w:rPr>
              <w:t>"low-altitude economy"</w:t>
            </w:r>
            <w:r>
              <w:rPr>
                <w:rFonts w:hint="eastAsia" w:ascii="Times New Roman" w:hAnsi="Times New Roman" w:eastAsia="宋体"/>
                <w:sz w:val="24"/>
                <w:lang w:val="en-US" w:eastAsia="zh-CN"/>
              </w:rPr>
              <w:t xml:space="preserve">in 标题 或 </w:t>
            </w:r>
            <w:r>
              <w:rPr>
                <w:rFonts w:hint="eastAsia" w:ascii="Times New Roman" w:hAnsi="Times New Roman" w:eastAsia="宋体"/>
                <w:sz w:val="24"/>
              </w:rPr>
              <w:t>"Drone"</w:t>
            </w:r>
            <w:r>
              <w:rPr>
                <w:rFonts w:hint="eastAsia" w:ascii="Times New Roman" w:hAnsi="Times New Roman" w:eastAsia="宋体"/>
                <w:sz w:val="24"/>
                <w:lang w:val="en-US" w:eastAsia="zh-CN"/>
              </w:rPr>
              <w:t xml:space="preserve"> in 全部</w:t>
            </w:r>
          </w:p>
        </w:tc>
      </w:tr>
    </w:tbl>
    <w:p w14:paraId="79AB5A11">
      <w:pPr>
        <w:pStyle w:val="4"/>
        <w:numPr>
          <w:ilvl w:val="0"/>
          <w:numId w:val="0"/>
        </w:numPr>
        <w:bidi w:val="0"/>
        <w:ind w:left="425" w:leftChars="0" w:hanging="425" w:firstLineChars="0"/>
        <w:rPr>
          <w:rFonts w:hint="eastAsia"/>
          <w:lang w:val="en-US" w:eastAsia="zh-CN"/>
        </w:rPr>
      </w:pPr>
      <w:r>
        <w:rPr>
          <w:rFonts w:hint="eastAsia"/>
          <w:lang w:val="en-US" w:eastAsia="zh-CN"/>
        </w:rPr>
        <w:t>3分析</w:t>
      </w:r>
    </w:p>
    <w:p w14:paraId="40E49E50">
      <w:pPr>
        <w:bidi w:val="0"/>
        <w:rPr>
          <w:rFonts w:hint="eastAsia"/>
          <w:lang w:val="en-US" w:eastAsia="zh-CN"/>
        </w:rPr>
      </w:pPr>
      <w:r>
        <w:rPr>
          <w:rFonts w:hint="eastAsia"/>
          <w:lang w:val="en-US" w:eastAsia="zh-CN"/>
        </w:rPr>
        <w:t>本文对检索结果进行筛选、提炼，基于对“大学生就业能力”和“返乡”进行了国内外研究现状分析、二者相互的影响以及传统金融如何借鉴经验实现自救展开描述。</w:t>
      </w:r>
    </w:p>
    <w:p w14:paraId="475105F8">
      <w:pPr>
        <w:pStyle w:val="4"/>
        <w:numPr>
          <w:ilvl w:val="0"/>
          <w:numId w:val="0"/>
        </w:numPr>
        <w:bidi w:val="0"/>
        <w:ind w:leftChars="0"/>
        <w:rPr>
          <w:rFonts w:hint="eastAsia"/>
          <w:lang w:val="en-US" w:eastAsia="zh-CN"/>
        </w:rPr>
      </w:pPr>
      <w:r>
        <w:rPr>
          <w:rFonts w:hint="eastAsia"/>
          <w:lang w:val="en-US" w:eastAsia="zh-CN"/>
        </w:rPr>
        <w:t>3.1大学生返乡就业现状分析</w:t>
      </w:r>
    </w:p>
    <w:p w14:paraId="4ED55EE1">
      <w:pPr>
        <w:pStyle w:val="5"/>
        <w:bidi w:val="0"/>
        <w:rPr>
          <w:rFonts w:hint="eastAsia"/>
          <w:lang w:val="en-US" w:eastAsia="zh-CN"/>
        </w:rPr>
      </w:pPr>
      <w:r>
        <w:rPr>
          <w:rFonts w:hint="eastAsia"/>
          <w:lang w:val="en-US" w:eastAsia="zh-CN"/>
        </w:rPr>
        <w:t>3.1.1 2018-2023全国普通本科学生毕业情况</w:t>
      </w:r>
    </w:p>
    <w:p w14:paraId="7CD7E78A">
      <w:pPr>
        <w:rPr>
          <w:rFonts w:hint="default"/>
          <w:lang w:val="en-US" w:eastAsia="zh-CN"/>
        </w:rPr>
      </w:pPr>
      <w:r>
        <w:rPr>
          <w:rFonts w:hint="eastAsia"/>
          <w:lang w:val="en-US" w:eastAsia="zh-CN"/>
        </w:rPr>
        <w:t>在高等教育普及化和大学扩招政策的推动下，我国本科毕业生数量持续增长。图2直观地展示了过去六年间，我国本科毕业生数量的显著增长态势。从2018年的约380万，到2023年逼近450万，这一数据的攀升不仅反映了高等教育的蓬勃发展，也预示着未来就业市场将面临新的挑战和机遇。</w:t>
      </w:r>
    </w:p>
    <w:p w14:paraId="449E7091">
      <w:pPr>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5257800" cy="1288415"/>
            <wp:effectExtent l="0" t="0" r="0" b="6985"/>
            <wp:docPr id="4" name="图片 4" descr="174692323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6923239317"/>
                    <pic:cNvPicPr>
                      <a:picLocks noChangeAspect="1"/>
                    </pic:cNvPicPr>
                  </pic:nvPicPr>
                  <pic:blipFill>
                    <a:blip r:embed="rId7"/>
                    <a:stretch>
                      <a:fillRect/>
                    </a:stretch>
                  </pic:blipFill>
                  <pic:spPr>
                    <a:xfrm>
                      <a:off x="0" y="0"/>
                      <a:ext cx="5257800" cy="1288415"/>
                    </a:xfrm>
                    <a:prstGeom prst="rect">
                      <a:avLst/>
                    </a:prstGeom>
                  </pic:spPr>
                </pic:pic>
              </a:graphicData>
            </a:graphic>
          </wp:inline>
        </w:drawing>
      </w:r>
    </w:p>
    <w:p w14:paraId="0F89A1C1">
      <w:pPr>
        <w:pStyle w:val="6"/>
        <w:keepNext w:val="0"/>
        <w:keepLines w:val="0"/>
        <w:pageBreakBefore w:val="0"/>
        <w:widowControl w:val="0"/>
        <w:numPr>
          <w:ilvl w:val="0"/>
          <w:numId w:val="0"/>
        </w:numPr>
        <w:kinsoku/>
        <w:wordWrap w:val="0"/>
        <w:overflowPunct/>
        <w:topLinePunct w:val="0"/>
        <w:autoSpaceDE/>
        <w:autoSpaceDN/>
        <w:bidi w:val="0"/>
        <w:adjustRightInd/>
        <w:snapToGrid/>
        <w:spacing w:after="0" w:afterLines="0"/>
        <w:jc w:val="left"/>
        <w:textAlignment w:val="auto"/>
        <w:rPr>
          <w:rFonts w:hint="eastAsia"/>
          <w:lang w:val="en-US" w:eastAsia="zh-CN"/>
        </w:rPr>
      </w:pPr>
      <w:r>
        <w:rPr>
          <w:rFonts w:hint="eastAsia"/>
          <w:lang w:val="en-US" w:eastAsia="zh-CN"/>
        </w:rPr>
        <w:t>数据来源：EPS数据平台</w:t>
      </w:r>
    </w:p>
    <w:p w14:paraId="3A6C5D3E">
      <w:pPr>
        <w:pStyle w:val="6"/>
        <w:bidi w:val="0"/>
        <w:rPr>
          <w:rFonts w:hint="eastAsia" w:eastAsia="黑体"/>
          <w:lang w:val="en-US" w:eastAsia="zh-CN"/>
        </w:rPr>
      </w:pPr>
      <w:r>
        <w:t xml:space="preserve">图 </w:t>
      </w:r>
      <w:r>
        <w:fldChar w:fldCharType="begin"/>
      </w:r>
      <w:r>
        <w:instrText xml:space="preserve"> SEQ 图 \* ARABIC </w:instrText>
      </w:r>
      <w:r>
        <w:fldChar w:fldCharType="separate"/>
      </w:r>
      <w:r>
        <w:t>2</w:t>
      </w:r>
      <w:r>
        <w:fldChar w:fldCharType="end"/>
      </w:r>
      <w:r>
        <w:rPr>
          <w:rFonts w:hint="eastAsia"/>
          <w:lang w:val="en-US" w:eastAsia="zh-CN"/>
        </w:rPr>
        <w:t xml:space="preserve"> </w:t>
      </w:r>
      <w:r>
        <w:rPr>
          <w:rFonts w:hint="eastAsia"/>
          <w:b/>
          <w:bCs/>
          <w:lang w:val="en-US" w:eastAsia="zh-CN"/>
        </w:rPr>
        <w:t>2018-2023年本科毕业生数量增长趋势图</w:t>
      </w:r>
    </w:p>
    <w:p w14:paraId="2EF5A00F">
      <w:pPr>
        <w:pStyle w:val="5"/>
        <w:bidi w:val="0"/>
        <w:rPr>
          <w:rFonts w:hint="eastAsia"/>
          <w:lang w:val="en-US" w:eastAsia="zh-CN"/>
        </w:rPr>
      </w:pPr>
      <w:r>
        <w:rPr>
          <w:rFonts w:hint="eastAsia"/>
          <w:lang w:val="en-US" w:eastAsia="zh-CN"/>
        </w:rPr>
        <w:t>3.1.2 2022届本科生主要学科门类毕业生就业率</w:t>
      </w:r>
    </w:p>
    <w:p w14:paraId="264CD6C5">
      <w:pPr>
        <w:bidi w:val="0"/>
        <w:rPr>
          <w:rFonts w:hint="default"/>
          <w:lang w:val="en-US" w:eastAsia="zh-CN"/>
        </w:rPr>
      </w:pPr>
      <w:r>
        <w:rPr>
          <w:rFonts w:hint="eastAsia"/>
          <w:lang w:val="en-US" w:eastAsia="zh-CN"/>
        </w:rPr>
        <w:t>在当前就业市场竞争日益激烈的背景下，不同学科门类的本科毕业生在就业市场上的表现呈现出显著差异。根据最新数据显示，2022届本科毕业生中，工学、教育学、农学等学科的毕业去向落实率位居前列，分别为89.5%、87.0%和86.6%，显示出这些领域的毕业生在就业市场上具有较强的竞争力和较高的需求。具体数据如图</w:t>
      </w:r>
    </w:p>
    <w:p w14:paraId="71382BF9">
      <w:pPr>
        <w:pStyle w:val="6"/>
        <w:rPr>
          <w:rFonts w:hint="eastAsia" w:eastAsia="黑体"/>
          <w:lang w:val="en-US" w:eastAsia="zh-CN"/>
        </w:rPr>
      </w:pPr>
      <w:r>
        <w:t xml:space="preserve">表 </w:t>
      </w:r>
      <w:r>
        <w:fldChar w:fldCharType="begin"/>
      </w:r>
      <w:r>
        <w:instrText xml:space="preserve"> SEQ 表 \* ARABIC </w:instrText>
      </w:r>
      <w:r>
        <w:fldChar w:fldCharType="separate"/>
      </w:r>
      <w:r>
        <w:t>2</w:t>
      </w:r>
      <w:r>
        <w:fldChar w:fldCharType="end"/>
      </w:r>
      <w:r>
        <w:rPr>
          <w:rFonts w:hint="eastAsia"/>
          <w:lang w:val="en-US" w:eastAsia="zh-CN"/>
        </w:rPr>
        <w:t xml:space="preserve">  2022 届本科各学科门类本科生毕业半年后的毕业去向落实率</w:t>
      </w:r>
    </w:p>
    <w:p w14:paraId="369F464B">
      <w:pPr>
        <w:ind w:left="0" w:leftChars="0" w:firstLine="0" w:firstLineChars="0"/>
      </w:pPr>
      <w:r>
        <w:drawing>
          <wp:inline distT="0" distB="0" distL="114300" distR="114300">
            <wp:extent cx="5269230" cy="3282315"/>
            <wp:effectExtent l="0" t="0" r="1270"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69230" cy="3282315"/>
                    </a:xfrm>
                    <a:prstGeom prst="rect">
                      <a:avLst/>
                    </a:prstGeom>
                    <a:noFill/>
                    <a:ln>
                      <a:noFill/>
                    </a:ln>
                  </pic:spPr>
                </pic:pic>
              </a:graphicData>
            </a:graphic>
          </wp:inline>
        </w:drawing>
      </w:r>
    </w:p>
    <w:p w14:paraId="7A52C29E">
      <w:pPr>
        <w:pStyle w:val="6"/>
        <w:keepNext w:val="0"/>
        <w:keepLines w:val="0"/>
        <w:pageBreakBefore w:val="0"/>
        <w:widowControl w:val="0"/>
        <w:numPr>
          <w:ilvl w:val="0"/>
          <w:numId w:val="0"/>
        </w:numPr>
        <w:kinsoku/>
        <w:wordWrap w:val="0"/>
        <w:overflowPunct/>
        <w:topLinePunct w:val="0"/>
        <w:autoSpaceDE/>
        <w:autoSpaceDN/>
        <w:bidi w:val="0"/>
        <w:adjustRightInd/>
        <w:snapToGrid/>
        <w:spacing w:after="0" w:afterLines="0"/>
        <w:jc w:val="left"/>
        <w:textAlignment w:val="auto"/>
        <w:rPr>
          <w:rFonts w:hint="eastAsia"/>
          <w:lang w:val="en-US" w:eastAsia="zh-CN"/>
        </w:rPr>
      </w:pPr>
      <w:r>
        <w:rPr>
          <w:rFonts w:hint="eastAsia"/>
          <w:lang w:val="en-US" w:eastAsia="zh-CN"/>
        </w:rPr>
        <w:t>数据来源：麦克思—《2023年中国本科生就业报告》</w:t>
      </w:r>
    </w:p>
    <w:p w14:paraId="633912A1">
      <w:pPr>
        <w:pStyle w:val="5"/>
        <w:bidi w:val="0"/>
        <w:rPr>
          <w:rFonts w:hint="default"/>
          <w:lang w:val="en-US" w:eastAsia="zh-CN"/>
        </w:rPr>
      </w:pPr>
      <w:r>
        <w:rPr>
          <w:rFonts w:hint="eastAsia"/>
          <w:lang w:val="en-US" w:eastAsia="zh-CN"/>
        </w:rPr>
        <w:t xml:space="preserve">3.1.3 </w:t>
      </w:r>
      <w:r>
        <w:rPr>
          <w:rFonts w:hint="default"/>
          <w:lang w:val="en-US" w:eastAsia="zh-CN"/>
        </w:rPr>
        <w:t>返乡就业和创业的大学毕业生</w:t>
      </w:r>
      <w:r>
        <w:rPr>
          <w:rFonts w:hint="eastAsia"/>
          <w:lang w:val="en-US" w:eastAsia="zh-CN"/>
        </w:rPr>
        <w:t>情况</w:t>
      </w:r>
    </w:p>
    <w:p w14:paraId="5B5C5439">
      <w:pPr>
        <w:bidi w:val="0"/>
        <w:ind w:left="0" w:leftChars="0" w:firstLine="420" w:firstLineChars="0"/>
        <w:jc w:val="left"/>
        <w:rPr>
          <w:rFonts w:hint="default"/>
          <w:lang w:val="en-US" w:eastAsia="zh-CN"/>
        </w:rPr>
      </w:pPr>
      <w:r>
        <w:rPr>
          <w:rFonts w:hint="default"/>
          <w:lang w:val="en-US" w:eastAsia="zh-CN"/>
        </w:rPr>
        <w:t>近年来，返乡就业和创业的大学毕业生数量不断增加。</w:t>
      </w:r>
      <w:r>
        <w:rPr>
          <w:rFonts w:hint="eastAsia"/>
          <w:lang w:val="en-US" w:eastAsia="zh-CN"/>
        </w:rPr>
        <w:t>表3</w:t>
      </w:r>
      <w:r>
        <w:rPr>
          <w:rFonts w:hint="default"/>
          <w:lang w:val="en-US" w:eastAsia="zh-CN"/>
        </w:rPr>
        <w:t>显示，2021至2023年，返乡大学生总数从约280万增至约350万，其中创业人数也显著增长，从12.5万增至25.1万。政府对大学生返乡就业创业的支持力度加大，政策资金投入</w:t>
      </w:r>
      <w:r>
        <w:rPr>
          <w:rFonts w:hint="eastAsia"/>
          <w:lang w:val="en-US" w:eastAsia="zh-CN"/>
        </w:rPr>
        <w:t>增加</w:t>
      </w:r>
      <w:r>
        <w:rPr>
          <w:rFonts w:hint="default"/>
          <w:lang w:val="en-US" w:eastAsia="zh-CN"/>
        </w:rPr>
        <w:t>这些数据表明，返乡就业和创业已成为越来越多大学毕业生的选择，为地方发展注入了新活力。</w:t>
      </w:r>
    </w:p>
    <w:p w14:paraId="6739DBB6">
      <w:pPr>
        <w:pStyle w:val="6"/>
        <w:bidi w:val="0"/>
        <w:rPr>
          <w:rFonts w:hint="default" w:eastAsia="黑体"/>
          <w:lang w:val="en-US" w:eastAsia="zh-CN"/>
        </w:rPr>
      </w:pPr>
      <w:r>
        <w:t xml:space="preserve">表 </w:t>
      </w:r>
      <w:r>
        <w:fldChar w:fldCharType="begin"/>
      </w:r>
      <w:r>
        <w:instrText xml:space="preserve"> SEQ 表 \* ARABIC </w:instrText>
      </w:r>
      <w:r>
        <w:fldChar w:fldCharType="separate"/>
      </w:r>
      <w:r>
        <w:t>3</w:t>
      </w:r>
      <w:r>
        <w:fldChar w:fldCharType="end"/>
      </w:r>
      <w:r>
        <w:rPr>
          <w:rFonts w:hint="eastAsia"/>
          <w:lang w:val="en-US" w:eastAsia="zh-CN"/>
        </w:rPr>
        <w:t xml:space="preserve"> 2021-2023年</w:t>
      </w:r>
      <w:r>
        <w:rPr>
          <w:rStyle w:val="13"/>
          <w:rFonts w:hint="eastAsia"/>
          <w:lang w:val="en-US" w:eastAsia="zh-CN"/>
        </w:rPr>
        <w:t>中国大学生返乡总体数据统计表</w:t>
      </w:r>
    </w:p>
    <w:p w14:paraId="14404C59">
      <w:pPr>
        <w:bidi w:val="0"/>
        <w:ind w:left="0" w:leftChars="0" w:firstLine="0" w:firstLineChars="0"/>
        <w:jc w:val="left"/>
        <w:rPr>
          <w:rFonts w:hint="default"/>
          <w:lang w:val="en-US" w:eastAsia="zh-CN"/>
        </w:rPr>
      </w:pPr>
      <w:r>
        <w:drawing>
          <wp:inline distT="0" distB="0" distL="114300" distR="114300">
            <wp:extent cx="5271135" cy="3161665"/>
            <wp:effectExtent l="0" t="0" r="12065" b="63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9"/>
                    <a:stretch>
                      <a:fillRect/>
                    </a:stretch>
                  </pic:blipFill>
                  <pic:spPr>
                    <a:xfrm>
                      <a:off x="0" y="0"/>
                      <a:ext cx="5271135" cy="3161665"/>
                    </a:xfrm>
                    <a:prstGeom prst="rect">
                      <a:avLst/>
                    </a:prstGeom>
                    <a:noFill/>
                    <a:ln>
                      <a:noFill/>
                    </a:ln>
                  </pic:spPr>
                </pic:pic>
              </a:graphicData>
            </a:graphic>
          </wp:inline>
        </w:drawing>
      </w:r>
    </w:p>
    <w:p w14:paraId="1F6DA346">
      <w:pPr>
        <w:bidi w:val="0"/>
        <w:rPr>
          <w:rFonts w:hint="default"/>
          <w:lang w:val="en-US" w:eastAsia="zh-CN"/>
        </w:rPr>
      </w:pPr>
      <w:r>
        <w:rPr>
          <w:rFonts w:hint="default"/>
          <w:lang w:val="en-US" w:eastAsia="zh-CN"/>
        </w:rPr>
        <w:t>麦可思研究院发布的《2023年中国本科生就业报告》显示</w:t>
      </w:r>
      <w:r>
        <w:rPr>
          <w:rFonts w:hint="eastAsia"/>
          <w:lang w:val="en-US" w:eastAsia="zh-CN"/>
        </w:rPr>
        <w:t>（如图3）</w:t>
      </w:r>
      <w:r>
        <w:rPr>
          <w:rFonts w:hint="default"/>
          <w:lang w:val="en-US" w:eastAsia="zh-CN"/>
        </w:rPr>
        <w:t>，近五届在外地（即“非生源省”）求学的应届本科生毕业半年后返乡（即“生源所在省”）就业的比例呈上升趋势。2022届外地求学本科生返乡就业的比例达47%，较2018届的43%提升了4个百分点。可见，在当下应届本科毕业生返乡就业意愿在不断增强。</w:t>
      </w:r>
    </w:p>
    <w:p w14:paraId="3BC343C5">
      <w:pPr>
        <w:bidi w:val="0"/>
        <w:ind w:left="0" w:leftChars="0" w:firstLine="0" w:firstLineChars="0"/>
        <w:jc w:val="center"/>
      </w:pPr>
      <w:r>
        <w:drawing>
          <wp:inline distT="0" distB="0" distL="114300" distR="114300">
            <wp:extent cx="4584065" cy="2755265"/>
            <wp:effectExtent l="0" t="0" r="635" b="63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0"/>
                    <a:stretch>
                      <a:fillRect/>
                    </a:stretch>
                  </pic:blipFill>
                  <pic:spPr>
                    <a:xfrm>
                      <a:off x="0" y="0"/>
                      <a:ext cx="4584065" cy="2755265"/>
                    </a:xfrm>
                    <a:prstGeom prst="rect">
                      <a:avLst/>
                    </a:prstGeom>
                    <a:noFill/>
                    <a:ln>
                      <a:noFill/>
                    </a:ln>
                  </pic:spPr>
                </pic:pic>
              </a:graphicData>
            </a:graphic>
          </wp:inline>
        </w:drawing>
      </w:r>
    </w:p>
    <w:p w14:paraId="4278165D">
      <w:pPr>
        <w:pStyle w:val="6"/>
        <w:keepNext w:val="0"/>
        <w:keepLines w:val="0"/>
        <w:pageBreakBefore w:val="0"/>
        <w:widowControl w:val="0"/>
        <w:numPr>
          <w:ilvl w:val="0"/>
          <w:numId w:val="0"/>
        </w:numPr>
        <w:kinsoku/>
        <w:wordWrap w:val="0"/>
        <w:overflowPunct/>
        <w:topLinePunct w:val="0"/>
        <w:autoSpaceDE/>
        <w:autoSpaceDN/>
        <w:bidi w:val="0"/>
        <w:adjustRightInd/>
        <w:snapToGrid/>
        <w:spacing w:after="0" w:afterLines="0"/>
        <w:jc w:val="left"/>
        <w:textAlignment w:val="auto"/>
        <w:rPr>
          <w:rFonts w:hint="default"/>
          <w:lang w:val="en-US" w:eastAsia="zh-CN"/>
        </w:rPr>
      </w:pPr>
      <w:r>
        <w:rPr>
          <w:rFonts w:hint="eastAsia"/>
          <w:lang w:val="en-US" w:eastAsia="zh-CN"/>
        </w:rPr>
        <w:t>数据来源：麦可思</w:t>
      </w:r>
    </w:p>
    <w:p w14:paraId="77C554B1">
      <w:pPr>
        <w:pStyle w:val="6"/>
        <w:bidi w:val="0"/>
        <w:rPr>
          <w:rFonts w:hint="eastAsia"/>
          <w:lang w:val="en-US" w:eastAsia="zh-CN"/>
        </w:rPr>
      </w:pPr>
      <w:r>
        <w:t xml:space="preserve">图 </w:t>
      </w:r>
      <w:r>
        <w:fldChar w:fldCharType="begin"/>
      </w:r>
      <w:r>
        <w:instrText xml:space="preserve"> SEQ 图 \* ARABIC </w:instrText>
      </w:r>
      <w:r>
        <w:fldChar w:fldCharType="separate"/>
      </w:r>
      <w:r>
        <w:t>3</w:t>
      </w:r>
      <w:r>
        <w:fldChar w:fldCharType="end"/>
      </w:r>
      <w:r>
        <w:rPr>
          <w:rFonts w:hint="eastAsia"/>
          <w:lang w:val="en-US" w:eastAsia="zh-CN"/>
        </w:rPr>
        <w:t xml:space="preserve"> 近五届在外地求学的本科毕业生返乡就业的变化趋势</w:t>
      </w:r>
    </w:p>
    <w:p w14:paraId="108CE2ED">
      <w:pPr>
        <w:pStyle w:val="4"/>
        <w:numPr>
          <w:ilvl w:val="0"/>
          <w:numId w:val="0"/>
        </w:numPr>
        <w:bidi w:val="0"/>
        <w:ind w:leftChars="0"/>
        <w:rPr>
          <w:rFonts w:hint="default"/>
          <w:lang w:val="en-US" w:eastAsia="zh-CN"/>
        </w:rPr>
      </w:pPr>
      <w:r>
        <w:rPr>
          <w:rFonts w:hint="eastAsia"/>
          <w:lang w:val="en-US" w:eastAsia="zh-CN"/>
        </w:rPr>
        <w:t>3.2大学生返乡就业政策分析</w:t>
      </w:r>
    </w:p>
    <w:p w14:paraId="1EF97297">
      <w:pPr>
        <w:bidi w:val="0"/>
        <w:rPr>
          <w:rFonts w:hint="eastAsia"/>
          <w:lang w:val="en-US" w:eastAsia="zh-CN"/>
        </w:rPr>
      </w:pPr>
      <w:r>
        <w:rPr>
          <w:rFonts w:hint="eastAsia"/>
          <w:lang w:val="en-US" w:eastAsia="zh-CN"/>
        </w:rPr>
        <w:t>大学生返乡带来了高素质人才的回流，有助于提升地方的人力资源水平，推动地方经济的转型升级和创新发展。政府通过支持大学生返乡就业，可以更好地落实乡村振兴战略和其他相关政策，促进社会的和谐稳定。近年来国家高度重视大学生返乡就业状况，一系列相关政策相继出台。这些政策与时俱进，不断推动大学生就业与乡村振兴协同发展，以实现大学生就业能力的提升和乡村振兴的协调发展。其发展历程如表4所示。</w:t>
      </w:r>
    </w:p>
    <w:p w14:paraId="09BC03E6">
      <w:pPr>
        <w:pStyle w:val="6"/>
        <w:rPr>
          <w:rFonts w:hint="default"/>
          <w:lang w:val="en-US" w:eastAsia="zh-CN"/>
        </w:rPr>
      </w:pPr>
      <w:r>
        <w:t xml:space="preserve">表 </w:t>
      </w:r>
      <w:r>
        <w:fldChar w:fldCharType="begin"/>
      </w:r>
      <w:r>
        <w:instrText xml:space="preserve"> SEQ 表 \* ARABIC </w:instrText>
      </w:r>
      <w:r>
        <w:fldChar w:fldCharType="separate"/>
      </w:r>
      <w:r>
        <w:t>4</w:t>
      </w:r>
      <w:r>
        <w:fldChar w:fldCharType="end"/>
      </w:r>
      <w:r>
        <w:rPr>
          <w:rFonts w:hint="eastAsia"/>
          <w:lang w:val="en-US" w:eastAsia="zh-CN"/>
        </w:rPr>
        <w:t xml:space="preserve"> 国家级政策文件概述</w:t>
      </w:r>
    </w:p>
    <w:p w14:paraId="49F97CBA">
      <w:pPr>
        <w:pStyle w:val="4"/>
        <w:numPr>
          <w:ilvl w:val="0"/>
          <w:numId w:val="0"/>
        </w:numPr>
        <w:bidi w:val="0"/>
        <w:ind w:leftChars="0"/>
        <w:rPr>
          <w:rFonts w:hint="eastAsia"/>
          <w:lang w:val="en-US" w:eastAsia="zh-CN"/>
        </w:rPr>
      </w:pPr>
      <w:r>
        <w:drawing>
          <wp:inline distT="0" distB="0" distL="114300" distR="114300">
            <wp:extent cx="5270500" cy="4625975"/>
            <wp:effectExtent l="0" t="0" r="0" b="9525"/>
            <wp:docPr id="4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pic:cNvPicPr>
                      <a:picLocks noChangeAspect="1"/>
                    </pic:cNvPicPr>
                  </pic:nvPicPr>
                  <pic:blipFill>
                    <a:blip r:embed="rId11"/>
                    <a:stretch>
                      <a:fillRect/>
                    </a:stretch>
                  </pic:blipFill>
                  <pic:spPr>
                    <a:xfrm>
                      <a:off x="0" y="0"/>
                      <a:ext cx="5270500" cy="4625975"/>
                    </a:xfrm>
                    <a:prstGeom prst="rect">
                      <a:avLst/>
                    </a:prstGeom>
                    <a:noFill/>
                    <a:ln>
                      <a:noFill/>
                    </a:ln>
                  </pic:spPr>
                </pic:pic>
              </a:graphicData>
            </a:graphic>
          </wp:inline>
        </w:drawing>
      </w:r>
      <w:r>
        <w:rPr>
          <w:rFonts w:hint="eastAsia"/>
          <w:lang w:val="en-US" w:eastAsia="zh-CN"/>
        </w:rPr>
        <w:t>3.3国内外研究现状</w:t>
      </w:r>
    </w:p>
    <w:p w14:paraId="70A786E4">
      <w:pPr>
        <w:bidi w:val="0"/>
        <w:rPr>
          <w:rFonts w:hint="eastAsia"/>
          <w:lang w:val="en-US" w:eastAsia="zh-CN"/>
        </w:rPr>
      </w:pPr>
      <w:r>
        <w:rPr>
          <w:rFonts w:hint="eastAsia"/>
          <w:lang w:val="en-US" w:eastAsia="zh-CN"/>
        </w:rPr>
        <w:t>通过中国知网和Web of Science的数据来源进行可视化分析，从中可以看出国内外在不同时期对其话题的关注度以及研究热点不同。</w:t>
      </w:r>
    </w:p>
    <w:p w14:paraId="648EE767">
      <w:pPr>
        <w:pStyle w:val="5"/>
        <w:bidi w:val="0"/>
        <w:rPr>
          <w:rFonts w:hint="eastAsia"/>
          <w:lang w:val="en-US" w:eastAsia="zh-CN"/>
        </w:rPr>
      </w:pPr>
      <w:r>
        <w:rPr>
          <w:rFonts w:hint="eastAsia"/>
          <w:lang w:val="en-US" w:eastAsia="zh-CN"/>
        </w:rPr>
        <w:t>3.3.1国内外发文量趋势</w:t>
      </w:r>
    </w:p>
    <w:p w14:paraId="6351A98F">
      <w:pPr>
        <w:keepNext w:val="0"/>
        <w:keepLines w:val="0"/>
        <w:pageBreakBefore w:val="0"/>
        <w:widowControl w:val="0"/>
        <w:numPr>
          <w:ilvl w:val="0"/>
          <w:numId w:val="0"/>
        </w:numPr>
        <w:kinsoku/>
        <w:wordWrap w:val="0"/>
        <w:overflowPunct/>
        <w:topLinePunct w:val="0"/>
        <w:autoSpaceDE/>
        <w:autoSpaceDN/>
        <w:bidi w:val="0"/>
        <w:adjustRightInd/>
        <w:snapToGrid/>
        <w:ind w:firstLine="480" w:firstLineChars="200"/>
        <w:jc w:val="left"/>
        <w:textAlignment w:val="auto"/>
        <w:rPr>
          <w:rFonts w:hint="default"/>
          <w:lang w:val="en-US" w:eastAsia="zh-CN"/>
        </w:rPr>
      </w:pPr>
      <w:r>
        <w:rPr>
          <w:rFonts w:hint="eastAsia"/>
        </w:rPr>
        <w:t>国内关于“</w:t>
      </w:r>
      <w:r>
        <w:rPr>
          <w:rFonts w:hint="eastAsia"/>
          <w:lang w:val="en-US" w:eastAsia="zh-CN"/>
        </w:rPr>
        <w:t>大学生返乡就业</w:t>
      </w:r>
      <w:r>
        <w:rPr>
          <w:rFonts w:hint="eastAsia"/>
        </w:rPr>
        <w:t>”</w:t>
      </w:r>
      <w:r>
        <w:rPr>
          <w:rFonts w:hint="eastAsia"/>
          <w:lang w:val="en-US" w:eastAsia="zh-CN"/>
        </w:rPr>
        <w:t>和“乡村振兴”</w:t>
      </w:r>
      <w:r>
        <w:rPr>
          <w:rFonts w:hint="eastAsia"/>
        </w:rPr>
        <w:t>相关文献发文趋势如</w:t>
      </w:r>
      <w:r>
        <w:rPr>
          <w:rFonts w:hint="eastAsia"/>
        </w:rPr>
        <w:fldChar w:fldCharType="begin"/>
      </w:r>
      <w:r>
        <w:rPr>
          <w:rFonts w:hint="eastAsia"/>
        </w:rPr>
        <w:instrText xml:space="preserve"> REF _Ref9274 \h </w:instrText>
      </w:r>
      <w:r>
        <w:rPr>
          <w:rFonts w:hint="eastAsia"/>
        </w:rPr>
        <w:fldChar w:fldCharType="separate"/>
      </w:r>
      <w:r>
        <w:t>图</w:t>
      </w:r>
      <w:r>
        <w:rPr>
          <w:rFonts w:hint="eastAsia"/>
          <w:lang w:val="en-US" w:eastAsia="zh-CN"/>
        </w:rPr>
        <w:t>4</w:t>
      </w:r>
      <w:r>
        <w:rPr>
          <w:rFonts w:hint="eastAsia"/>
        </w:rPr>
        <w:fldChar w:fldCharType="end"/>
      </w:r>
      <w:r>
        <w:rPr>
          <w:rFonts w:hint="eastAsia"/>
        </w:rPr>
        <w:t>所示。</w:t>
      </w:r>
      <w:r>
        <w:rPr>
          <w:rFonts w:hint="eastAsia"/>
          <w:lang w:val="en-US" w:eastAsia="zh-CN"/>
        </w:rPr>
        <w:t>2018、2020等年份国家相继出台了相关政策，引导大学生返乡。</w:t>
      </w:r>
      <w:r>
        <w:rPr>
          <w:rFonts w:hint="eastAsia"/>
        </w:rPr>
        <w:t>这些政策的实施效果、影响范围以及对返乡大学生的具体帮助等，都会成为研究的重点，从而增加相关文献的发表量。</w:t>
      </w:r>
    </w:p>
    <w:p w14:paraId="54E3AFBE">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rPr>
          <w:rFonts w:hint="eastAsia" w:eastAsia="宋体"/>
          <w:lang w:eastAsia="zh-CN"/>
        </w:rPr>
      </w:pPr>
      <w:r>
        <w:rPr>
          <w:rFonts w:hint="eastAsia" w:eastAsia="宋体"/>
          <w:lang w:eastAsia="zh-CN"/>
        </w:rPr>
        <w:drawing>
          <wp:inline distT="0" distB="0" distL="114300" distR="114300">
            <wp:extent cx="5267960" cy="3213735"/>
            <wp:effectExtent l="0" t="0" r="2540" b="12065"/>
            <wp:docPr id="20" name="图片 7" descr="C:/Users/admin.DESKTOP-AL5KP1O/Desktop/局部截取_20250511_091455.png局部截取_20250511_09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C:/Users/admin.DESKTOP-AL5KP1O/Desktop/局部截取_20250511_091455.png局部截取_20250511_091455"/>
                    <pic:cNvPicPr>
                      <a:picLocks noChangeAspect="1"/>
                    </pic:cNvPicPr>
                  </pic:nvPicPr>
                  <pic:blipFill>
                    <a:blip r:embed="rId12"/>
                    <a:srcRect t="4460" b="4460"/>
                    <a:stretch>
                      <a:fillRect/>
                    </a:stretch>
                  </pic:blipFill>
                  <pic:spPr>
                    <a:xfrm>
                      <a:off x="0" y="0"/>
                      <a:ext cx="5267960" cy="3213735"/>
                    </a:xfrm>
                    <a:prstGeom prst="rect">
                      <a:avLst/>
                    </a:prstGeom>
                    <a:noFill/>
                    <a:ln>
                      <a:noFill/>
                    </a:ln>
                  </pic:spPr>
                </pic:pic>
              </a:graphicData>
            </a:graphic>
          </wp:inline>
        </w:drawing>
      </w:r>
    </w:p>
    <w:p w14:paraId="054D90D6">
      <w:pPr>
        <w:pStyle w:val="6"/>
        <w:keepNext w:val="0"/>
        <w:keepLines w:val="0"/>
        <w:pageBreakBefore w:val="0"/>
        <w:widowControl w:val="0"/>
        <w:numPr>
          <w:ilvl w:val="0"/>
          <w:numId w:val="0"/>
        </w:numPr>
        <w:kinsoku/>
        <w:wordWrap w:val="0"/>
        <w:overflowPunct/>
        <w:topLinePunct w:val="0"/>
        <w:autoSpaceDE/>
        <w:autoSpaceDN/>
        <w:bidi w:val="0"/>
        <w:adjustRightInd/>
        <w:snapToGrid/>
        <w:spacing w:after="0" w:afterLines="0"/>
        <w:jc w:val="left"/>
        <w:textAlignment w:val="auto"/>
        <w:rPr>
          <w:rFonts w:hint="default" w:eastAsia="黑体"/>
          <w:lang w:val="en-US" w:eastAsia="zh-CN"/>
        </w:rPr>
      </w:pPr>
      <w:r>
        <w:rPr>
          <w:rFonts w:hint="eastAsia"/>
          <w:lang w:val="en-US" w:eastAsia="zh-CN"/>
        </w:rPr>
        <w:t>数据来源：中国知网</w:t>
      </w:r>
    </w:p>
    <w:p w14:paraId="7FFDA2EF">
      <w:pPr>
        <w:pStyle w:val="6"/>
        <w:bidi w:val="0"/>
        <w:rPr>
          <w:rFonts w:hint="eastAsia"/>
          <w:lang w:val="en-US" w:eastAsia="zh-CN"/>
        </w:rPr>
      </w:pPr>
      <w:r>
        <w:t xml:space="preserve">图 </w:t>
      </w:r>
      <w:r>
        <w:fldChar w:fldCharType="begin"/>
      </w:r>
      <w:r>
        <w:instrText xml:space="preserve"> SEQ 图 \* ARABIC </w:instrText>
      </w:r>
      <w:r>
        <w:fldChar w:fldCharType="separate"/>
      </w:r>
      <w:r>
        <w:t>4</w:t>
      </w:r>
      <w:r>
        <w:fldChar w:fldCharType="end"/>
      </w:r>
      <w:r>
        <w:rPr>
          <w:rFonts w:hint="eastAsia"/>
          <w:lang w:val="en-US" w:eastAsia="zh-CN"/>
        </w:rPr>
        <w:t xml:space="preserve">  国内文献发表年度趋势</w:t>
      </w:r>
    </w:p>
    <w:p w14:paraId="73105546">
      <w:pPr>
        <w:pStyle w:val="6"/>
        <w:bidi w:val="0"/>
        <w:rPr>
          <w:rFonts w:hint="eastAsia"/>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-139700</wp:posOffset>
            </wp:positionH>
            <wp:positionV relativeFrom="paragraph">
              <wp:posOffset>402590</wp:posOffset>
            </wp:positionV>
            <wp:extent cx="5709285" cy="2592705"/>
            <wp:effectExtent l="0" t="0" r="5715" b="10795"/>
            <wp:wrapTopAndBottom/>
            <wp:docPr id="21" name="图片 21" descr="visualiz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visualization (2)"/>
                    <pic:cNvPicPr>
                      <a:picLocks noChangeAspect="1"/>
                    </pic:cNvPicPr>
                  </pic:nvPicPr>
                  <pic:blipFill>
                    <a:blip r:embed="rId13"/>
                    <a:srcRect b="15046"/>
                    <a:stretch>
                      <a:fillRect/>
                    </a:stretch>
                  </pic:blipFill>
                  <pic:spPr>
                    <a:xfrm>
                      <a:off x="0" y="0"/>
                      <a:ext cx="5709285" cy="2592705"/>
                    </a:xfrm>
                    <a:prstGeom prst="rect">
                      <a:avLst/>
                    </a:prstGeom>
                  </pic:spPr>
                </pic:pic>
              </a:graphicData>
            </a:graphic>
          </wp:anchor>
        </w:drawing>
      </w:r>
    </w:p>
    <w:p w14:paraId="255E2B14">
      <w:pPr>
        <w:pStyle w:val="6"/>
        <w:jc w:val="both"/>
        <w:rPr>
          <w:rFonts w:hint="eastAsia"/>
          <w:lang w:val="en-US" w:eastAsia="zh-CN"/>
        </w:rPr>
      </w:pPr>
      <w:r>
        <w:rPr>
          <w:rFonts w:hint="eastAsia"/>
          <w:lang w:val="en-US" w:eastAsia="zh-CN"/>
        </w:rPr>
        <w:t>数据来源：Web of Science</w:t>
      </w:r>
    </w:p>
    <w:p w14:paraId="0CD216C6">
      <w:pPr>
        <w:pStyle w:val="6"/>
        <w:rPr>
          <w:rFonts w:hint="eastAsia"/>
          <w:lang w:val="en-US" w:eastAsia="zh-CN"/>
        </w:rPr>
      </w:pPr>
      <w:r>
        <w:t xml:space="preserve">图 </w:t>
      </w:r>
      <w:r>
        <w:fldChar w:fldCharType="begin"/>
      </w:r>
      <w:r>
        <w:instrText xml:space="preserve"> SEQ 图 \* ARABIC </w:instrText>
      </w:r>
      <w:r>
        <w:fldChar w:fldCharType="separate"/>
      </w:r>
      <w:r>
        <w:t>5</w:t>
      </w:r>
      <w:r>
        <w:fldChar w:fldCharType="end"/>
      </w:r>
      <w:r>
        <w:rPr>
          <w:rFonts w:hint="eastAsia"/>
          <w:lang w:val="en-US" w:eastAsia="zh-CN"/>
        </w:rPr>
        <w:t xml:space="preserve"> 国外文献发表年度趋势</w:t>
      </w:r>
    </w:p>
    <w:p w14:paraId="04219EDE">
      <w:pPr>
        <w:pStyle w:val="6"/>
        <w:bidi w:val="0"/>
        <w:jc w:val="left"/>
        <w:rPr>
          <w:rFonts w:hint="eastAsia"/>
          <w:lang w:val="en-US" w:eastAsia="zh-CN"/>
        </w:rPr>
      </w:pPr>
    </w:p>
    <w:p w14:paraId="0659E917">
      <w:pPr>
        <w:rPr>
          <w:rFonts w:ascii="Times New Roman" w:hAnsi="Times New Roman"/>
        </w:rPr>
      </w:pPr>
      <w:r>
        <w:rPr>
          <w:rFonts w:hint="eastAsia" w:ascii="Times New Roman" w:hAnsi="Times New Roman" w:eastAsia="宋体"/>
          <w:sz w:val="24"/>
        </w:rPr>
        <w:t>由</w:t>
      </w:r>
      <w:r>
        <w:rPr>
          <w:rFonts w:hint="eastAsia" w:ascii="Times New Roman" w:hAnsi="Times New Roman" w:eastAsia="宋体"/>
          <w:sz w:val="24"/>
        </w:rPr>
        <w:fldChar w:fldCharType="begin"/>
      </w:r>
      <w:r>
        <w:rPr>
          <w:rFonts w:hint="eastAsia" w:ascii="Times New Roman" w:hAnsi="Times New Roman" w:eastAsia="宋体"/>
          <w:sz w:val="24"/>
        </w:rPr>
        <w:instrText xml:space="preserve"> REF _Ref10035 \h </w:instrText>
      </w:r>
      <w:r>
        <w:rPr>
          <w:rFonts w:hint="eastAsia" w:ascii="Times New Roman" w:hAnsi="Times New Roman" w:eastAsia="宋体"/>
          <w:sz w:val="24"/>
        </w:rPr>
        <w:fldChar w:fldCharType="separate"/>
      </w:r>
      <w:r>
        <w:t>图</w:t>
      </w:r>
      <w:r>
        <w:rPr>
          <w:rFonts w:hint="eastAsia"/>
          <w:lang w:val="en-US" w:eastAsia="zh-CN"/>
        </w:rPr>
        <w:t>5</w:t>
      </w:r>
      <w:r>
        <w:rPr>
          <w:rFonts w:hint="eastAsia" w:ascii="Times New Roman" w:hAnsi="Times New Roman" w:eastAsia="宋体"/>
          <w:sz w:val="24"/>
        </w:rPr>
        <w:fldChar w:fldCharType="end"/>
      </w:r>
      <w:r>
        <w:rPr>
          <w:rFonts w:hint="eastAsia" w:ascii="Times New Roman" w:hAnsi="Times New Roman" w:eastAsia="宋体"/>
          <w:sz w:val="24"/>
        </w:rPr>
        <w:t>可知国外发文量总体呈上升趋势，说明</w:t>
      </w:r>
      <w:r>
        <w:rPr>
          <w:rFonts w:hint="eastAsia"/>
          <w:sz w:val="24"/>
          <w:lang w:val="en-US" w:eastAsia="zh-CN"/>
        </w:rPr>
        <w:t>大学生返乡就业</w:t>
      </w:r>
      <w:r>
        <w:rPr>
          <w:rFonts w:hint="eastAsia" w:ascii="Times New Roman" w:hAnsi="Times New Roman" w:eastAsia="宋体"/>
          <w:sz w:val="24"/>
        </w:rPr>
        <w:t>问题已成为全球一大热门问题，世界各国学者对于</w:t>
      </w:r>
      <w:r>
        <w:rPr>
          <w:rFonts w:hint="eastAsia"/>
          <w:sz w:val="24"/>
          <w:lang w:val="en-US" w:eastAsia="zh-CN"/>
        </w:rPr>
        <w:t>大学生就业状况及乡村</w:t>
      </w:r>
      <w:r>
        <w:rPr>
          <w:rFonts w:hint="eastAsia" w:ascii="Times New Roman" w:hAnsi="Times New Roman" w:eastAsia="宋体"/>
          <w:sz w:val="24"/>
        </w:rPr>
        <w:t>发展都尤为关注并且对于如何解决</w:t>
      </w:r>
      <w:r>
        <w:rPr>
          <w:rFonts w:hint="eastAsia"/>
          <w:sz w:val="24"/>
          <w:lang w:val="en-US" w:eastAsia="zh-CN"/>
        </w:rPr>
        <w:t>大学生返乡就业</w:t>
      </w:r>
      <w:r>
        <w:rPr>
          <w:rFonts w:hint="eastAsia" w:ascii="Times New Roman" w:hAnsi="Times New Roman" w:eastAsia="宋体"/>
          <w:sz w:val="24"/>
        </w:rPr>
        <w:t>问题都有其不同的看法与解决方案。</w:t>
      </w:r>
    </w:p>
    <w:p w14:paraId="7C03C8E8">
      <w:pPr>
        <w:pStyle w:val="5"/>
        <w:bidi w:val="0"/>
        <w:rPr>
          <w:rFonts w:hint="eastAsia"/>
          <w:lang w:eastAsia="zh-CN"/>
        </w:rPr>
      </w:pPr>
      <w:r>
        <w:rPr>
          <w:rFonts w:hint="eastAsia"/>
          <w:lang w:val="en-US" w:eastAsia="zh-CN"/>
        </w:rPr>
        <w:t>3.3.2国内外研究主题</w:t>
      </w:r>
    </w:p>
    <w:p w14:paraId="4BE3D75E">
      <w:pPr>
        <w:pStyle w:val="6"/>
        <w:bidi w:val="0"/>
        <w:rPr>
          <w:rFonts w:hint="eastAsia"/>
          <w:lang w:eastAsia="zh-CN"/>
        </w:rPr>
      </w:pPr>
      <w:r>
        <w:rPr>
          <w:rFonts w:hint="eastAsia"/>
          <w:lang w:eastAsia="zh-CN"/>
        </w:rPr>
        <w:drawing>
          <wp:anchor distT="0" distB="0" distL="114300" distR="114300" simplePos="0" relativeHeight="251659264" behindDoc="0" locked="0" layoutInCell="1" allowOverlap="1">
            <wp:simplePos x="0" y="0"/>
            <wp:positionH relativeFrom="column">
              <wp:posOffset>-153670</wp:posOffset>
            </wp:positionH>
            <wp:positionV relativeFrom="paragraph">
              <wp:posOffset>1270</wp:posOffset>
            </wp:positionV>
            <wp:extent cx="5732145" cy="2724150"/>
            <wp:effectExtent l="0" t="0" r="8255" b="6350"/>
            <wp:wrapTopAndBottom/>
            <wp:docPr id="22" name="图片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
                    <pic:cNvPicPr>
                      <a:picLocks noChangeAspect="1"/>
                    </pic:cNvPicPr>
                  </pic:nvPicPr>
                  <pic:blipFill>
                    <a:blip r:embed="rId14"/>
                    <a:stretch>
                      <a:fillRect/>
                    </a:stretch>
                  </pic:blipFill>
                  <pic:spPr>
                    <a:xfrm>
                      <a:off x="0" y="0"/>
                      <a:ext cx="5732145" cy="2724150"/>
                    </a:xfrm>
                    <a:prstGeom prst="rect">
                      <a:avLst/>
                    </a:prstGeom>
                  </pic:spPr>
                </pic:pic>
              </a:graphicData>
            </a:graphic>
          </wp:anchor>
        </w:drawing>
      </w:r>
    </w:p>
    <w:p w14:paraId="3AF82757">
      <w:pPr>
        <w:pStyle w:val="6"/>
        <w:bidi w:val="0"/>
        <w:rPr>
          <w:rFonts w:hint="eastAsia" w:ascii="Times New Roman" w:hAnsi="Times New Roman" w:eastAsia="宋体"/>
          <w:sz w:val="24"/>
          <w:lang w:val="en-US" w:eastAsia="zh-CN"/>
        </w:rPr>
      </w:pPr>
      <w:bookmarkStart w:id="0" w:name="_Ref7198"/>
      <w:r>
        <w:t xml:space="preserve">图 </w:t>
      </w:r>
      <w:r>
        <w:fldChar w:fldCharType="begin"/>
      </w:r>
      <w:r>
        <w:instrText xml:space="preserve"> SEQ 图 \* ARABIC </w:instrText>
      </w:r>
      <w:r>
        <w:fldChar w:fldCharType="separate"/>
      </w:r>
      <w:r>
        <w:t>6</w:t>
      </w:r>
      <w:r>
        <w:fldChar w:fldCharType="end"/>
      </w:r>
      <w:bookmarkEnd w:id="0"/>
      <w:r>
        <w:rPr>
          <w:rFonts w:hint="eastAsia"/>
          <w:lang w:val="en-US" w:eastAsia="zh-CN"/>
        </w:rPr>
        <w:t xml:space="preserve"> 国内大学生就业和乡村振兴相关文献关键词聚类图谱</w:t>
      </w:r>
    </w:p>
    <w:p w14:paraId="12B5BA0B">
      <w:pPr>
        <w:pStyle w:val="6"/>
        <w:bidi w:val="0"/>
        <w:jc w:val="both"/>
        <w:rPr>
          <w:rFonts w:hint="eastAsia" w:ascii="Times New Roman" w:hAnsi="Times New Roman" w:eastAsia="宋体"/>
          <w:sz w:val="24"/>
          <w:lang w:val="en-US" w:eastAsia="zh-CN"/>
        </w:rPr>
      </w:pPr>
    </w:p>
    <w:p w14:paraId="2302DC59">
      <w:pPr>
        <w:bidi w:val="0"/>
        <w:rPr>
          <w:rFonts w:hint="eastAsia" w:ascii="Times New Roman" w:hAnsi="Times New Roman" w:eastAsia="宋体"/>
          <w:sz w:val="24"/>
          <w:lang w:eastAsia="zh-CN"/>
        </w:rPr>
      </w:pPr>
      <w:r>
        <w:rPr>
          <w:rFonts w:hint="eastAsia" w:ascii="Times New Roman" w:hAnsi="Times New Roman" w:eastAsia="宋体"/>
          <w:sz w:val="24"/>
          <w:lang w:val="en-US" w:eastAsia="zh-CN"/>
        </w:rPr>
        <w:fldChar w:fldCharType="begin"/>
      </w:r>
      <w:r>
        <w:rPr>
          <w:rFonts w:hint="eastAsia" w:ascii="Times New Roman" w:hAnsi="Times New Roman" w:eastAsia="宋体"/>
          <w:sz w:val="24"/>
          <w:lang w:val="en-US" w:eastAsia="zh-CN"/>
        </w:rPr>
        <w:instrText xml:space="preserve"> REF _Ref7198 \h </w:instrText>
      </w:r>
      <w:r>
        <w:rPr>
          <w:rFonts w:hint="eastAsia" w:ascii="Times New Roman" w:hAnsi="Times New Roman" w:eastAsia="宋体"/>
          <w:sz w:val="24"/>
          <w:lang w:val="en-US" w:eastAsia="zh-CN"/>
        </w:rPr>
        <w:fldChar w:fldCharType="separate"/>
      </w:r>
      <w:r>
        <w:t>图 6</w:t>
      </w:r>
      <w:r>
        <w:rPr>
          <w:rFonts w:hint="eastAsia" w:ascii="Times New Roman" w:hAnsi="Times New Roman" w:eastAsia="宋体"/>
          <w:sz w:val="24"/>
          <w:lang w:val="en-US" w:eastAsia="zh-CN"/>
        </w:rPr>
        <w:fldChar w:fldCharType="end"/>
      </w:r>
      <w:r>
        <w:rPr>
          <w:rFonts w:hint="eastAsia" w:ascii="Times New Roman" w:hAnsi="Times New Roman" w:eastAsia="宋体"/>
          <w:sz w:val="24"/>
          <w:lang w:val="en-US" w:eastAsia="zh-CN"/>
        </w:rPr>
        <w:t>为国内</w:t>
      </w:r>
      <w:r>
        <w:rPr>
          <w:rFonts w:hint="eastAsia"/>
          <w:sz w:val="24"/>
          <w:lang w:val="en-US" w:eastAsia="zh-CN"/>
        </w:rPr>
        <w:t>大学生返乡就业</w:t>
      </w:r>
      <w:r>
        <w:rPr>
          <w:rFonts w:hint="eastAsia" w:ascii="Times New Roman" w:hAnsi="Times New Roman" w:eastAsia="宋体"/>
          <w:sz w:val="24"/>
          <w:lang w:val="en-US" w:eastAsia="zh-CN"/>
        </w:rPr>
        <w:t>和</w:t>
      </w:r>
      <w:r>
        <w:rPr>
          <w:rFonts w:hint="eastAsia"/>
          <w:sz w:val="24"/>
          <w:lang w:val="en-US" w:eastAsia="zh-CN"/>
        </w:rPr>
        <w:t>乡村振兴</w:t>
      </w:r>
      <w:r>
        <w:rPr>
          <w:rFonts w:hint="eastAsia" w:ascii="Times New Roman" w:hAnsi="Times New Roman" w:eastAsia="宋体"/>
          <w:sz w:val="24"/>
          <w:lang w:val="en-US" w:eastAsia="zh-CN"/>
        </w:rPr>
        <w:t>相关文献关键词聚类图谱，本文通过选用中国知网的数据，作为本文文献计量的数据来源。</w:t>
      </w:r>
      <w:r>
        <w:rPr>
          <w:rFonts w:hint="eastAsia"/>
          <w:sz w:val="24"/>
          <w:lang w:val="en-US" w:eastAsia="zh-CN"/>
        </w:rPr>
        <w:t>640</w:t>
      </w:r>
      <w:r>
        <w:rPr>
          <w:rFonts w:hint="eastAsia" w:ascii="Times New Roman" w:hAnsi="Times New Roman" w:eastAsia="宋体"/>
          <w:sz w:val="24"/>
          <w:lang w:val="en-US" w:eastAsia="zh-CN"/>
        </w:rPr>
        <w:t>个关键词中出现频次不少于</w:t>
      </w:r>
      <w:r>
        <w:rPr>
          <w:rFonts w:hint="eastAsia"/>
          <w:sz w:val="24"/>
          <w:lang w:val="en-US" w:eastAsia="zh-CN"/>
        </w:rPr>
        <w:t>4</w:t>
      </w:r>
      <w:r>
        <w:rPr>
          <w:rFonts w:hint="eastAsia" w:ascii="Times New Roman" w:hAnsi="Times New Roman" w:eastAsia="宋体"/>
          <w:sz w:val="24"/>
          <w:lang w:val="en-US" w:eastAsia="zh-CN"/>
        </w:rPr>
        <w:t>次的</w:t>
      </w:r>
      <w:r>
        <w:rPr>
          <w:rFonts w:hint="eastAsia"/>
          <w:sz w:val="24"/>
          <w:lang w:val="en-US" w:eastAsia="zh-CN"/>
        </w:rPr>
        <w:t>55</w:t>
      </w:r>
      <w:r>
        <w:rPr>
          <w:rFonts w:hint="eastAsia" w:ascii="Times New Roman" w:hAnsi="Times New Roman" w:eastAsia="宋体"/>
          <w:sz w:val="24"/>
          <w:lang w:val="en-US" w:eastAsia="zh-CN"/>
        </w:rPr>
        <w:t>个关键词形成了多个聚类，表明在</w:t>
      </w:r>
      <w:r>
        <w:rPr>
          <w:rFonts w:hint="eastAsia"/>
          <w:sz w:val="24"/>
          <w:lang w:val="en-US" w:eastAsia="zh-CN"/>
        </w:rPr>
        <w:t>大学生返乡就业</w:t>
      </w:r>
      <w:r>
        <w:rPr>
          <w:rFonts w:hint="eastAsia" w:ascii="Times New Roman" w:hAnsi="Times New Roman" w:eastAsia="宋体"/>
          <w:sz w:val="24"/>
          <w:lang w:val="en-US" w:eastAsia="zh-CN"/>
        </w:rPr>
        <w:t>和</w:t>
      </w:r>
      <w:r>
        <w:rPr>
          <w:rFonts w:hint="eastAsia"/>
          <w:sz w:val="24"/>
          <w:lang w:val="en-US" w:eastAsia="zh-CN"/>
        </w:rPr>
        <w:t>乡村振兴</w:t>
      </w:r>
      <w:r>
        <w:rPr>
          <w:rFonts w:hint="eastAsia" w:ascii="Times New Roman" w:hAnsi="Times New Roman" w:eastAsia="宋体"/>
          <w:sz w:val="24"/>
          <w:lang w:val="en-US" w:eastAsia="zh-CN"/>
        </w:rPr>
        <w:t>方面主要涉及</w:t>
      </w:r>
      <w:r>
        <w:rPr>
          <w:rFonts w:hint="eastAsia"/>
          <w:sz w:val="24"/>
          <w:lang w:val="en-US" w:eastAsia="zh-CN"/>
        </w:rPr>
        <w:t>创新创业、能力提升</w:t>
      </w:r>
      <w:r>
        <w:rPr>
          <w:rFonts w:hint="eastAsia" w:ascii="Times New Roman" w:hAnsi="Times New Roman" w:eastAsia="宋体"/>
          <w:sz w:val="24"/>
          <w:lang w:val="en-US" w:eastAsia="zh-CN"/>
        </w:rPr>
        <w:t>、</w:t>
      </w:r>
      <w:r>
        <w:rPr>
          <w:rFonts w:hint="eastAsia"/>
          <w:sz w:val="24"/>
          <w:lang w:val="en-US" w:eastAsia="zh-CN"/>
        </w:rPr>
        <w:t>乡村振兴</w:t>
      </w:r>
      <w:r>
        <w:rPr>
          <w:rFonts w:hint="eastAsia" w:ascii="Times New Roman" w:hAnsi="Times New Roman" w:eastAsia="宋体"/>
          <w:sz w:val="24"/>
          <w:lang w:val="en-US" w:eastAsia="zh-CN"/>
        </w:rPr>
        <w:t>、</w:t>
      </w:r>
      <w:r>
        <w:rPr>
          <w:rFonts w:hint="eastAsia"/>
          <w:sz w:val="24"/>
          <w:lang w:val="en-US" w:eastAsia="zh-CN"/>
        </w:rPr>
        <w:t>职业规划</w:t>
      </w:r>
      <w:r>
        <w:rPr>
          <w:rFonts w:hint="eastAsia" w:ascii="Times New Roman" w:hAnsi="Times New Roman" w:eastAsia="宋体"/>
          <w:sz w:val="24"/>
          <w:lang w:val="en-US" w:eastAsia="zh-CN"/>
        </w:rPr>
        <w:t>以及</w:t>
      </w:r>
      <w:r>
        <w:rPr>
          <w:rFonts w:hint="eastAsia"/>
          <w:sz w:val="24"/>
          <w:lang w:val="en-US" w:eastAsia="zh-CN"/>
        </w:rPr>
        <w:t>就业能力</w:t>
      </w:r>
      <w:r>
        <w:rPr>
          <w:rFonts w:hint="eastAsia" w:ascii="Times New Roman" w:hAnsi="Times New Roman" w:eastAsia="宋体"/>
          <w:sz w:val="24"/>
          <w:lang w:val="en-US" w:eastAsia="zh-CN"/>
        </w:rPr>
        <w:t>5个主题。</w:t>
      </w:r>
    </w:p>
    <w:p w14:paraId="1797AE79">
      <w:pPr>
        <w:pStyle w:val="6"/>
        <w:ind w:left="0" w:leftChars="0" w:firstLine="0" w:firstLineChars="0"/>
        <w:rPr>
          <w:rFonts w:hint="eastAsia" w:ascii="Times New Roman" w:hAnsi="Times New Roman" w:eastAsia="宋体"/>
          <w:sz w:val="24"/>
          <w:lang w:eastAsia="zh-CN"/>
        </w:rPr>
      </w:pPr>
      <w:r>
        <w:rPr>
          <w:rFonts w:hint="eastAsia" w:ascii="Times New Roman" w:hAnsi="Times New Roman" w:eastAsia="宋体"/>
          <w:sz w:val="24"/>
          <w:lang w:eastAsia="zh-CN"/>
        </w:rPr>
        <w:drawing>
          <wp:anchor distT="0" distB="0" distL="114300" distR="114300" simplePos="0" relativeHeight="251661312" behindDoc="0" locked="0" layoutInCell="1" allowOverlap="1">
            <wp:simplePos x="0" y="0"/>
            <wp:positionH relativeFrom="column">
              <wp:posOffset>37465</wp:posOffset>
            </wp:positionH>
            <wp:positionV relativeFrom="paragraph">
              <wp:posOffset>187325</wp:posOffset>
            </wp:positionV>
            <wp:extent cx="5273675" cy="3231515"/>
            <wp:effectExtent l="0" t="0" r="9525" b="6985"/>
            <wp:wrapTopAndBottom/>
            <wp:docPr id="23" name="图片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
                    <pic:cNvPicPr>
                      <a:picLocks noChangeAspect="1"/>
                    </pic:cNvPicPr>
                  </pic:nvPicPr>
                  <pic:blipFill>
                    <a:blip r:embed="rId15"/>
                    <a:stretch>
                      <a:fillRect/>
                    </a:stretch>
                  </pic:blipFill>
                  <pic:spPr>
                    <a:xfrm>
                      <a:off x="0" y="0"/>
                      <a:ext cx="5273675" cy="3231515"/>
                    </a:xfrm>
                    <a:prstGeom prst="rect">
                      <a:avLst/>
                    </a:prstGeom>
                  </pic:spPr>
                </pic:pic>
              </a:graphicData>
            </a:graphic>
          </wp:anchor>
        </w:drawing>
      </w:r>
    </w:p>
    <w:p w14:paraId="7C06FCDB">
      <w:pPr>
        <w:pStyle w:val="6"/>
        <w:ind w:left="0" w:leftChars="0" w:firstLine="0" w:firstLineChars="0"/>
        <w:rPr>
          <w:rFonts w:hint="eastAsia"/>
          <w:lang w:eastAsia="zh-CN"/>
        </w:rPr>
      </w:pPr>
      <w:bookmarkStart w:id="1" w:name="_Ref7348"/>
      <w:r>
        <w:t xml:space="preserve">图 </w:t>
      </w:r>
      <w:r>
        <w:fldChar w:fldCharType="begin"/>
      </w:r>
      <w:r>
        <w:instrText xml:space="preserve"> SEQ 图 \* ARABIC </w:instrText>
      </w:r>
      <w:r>
        <w:fldChar w:fldCharType="separate"/>
      </w:r>
      <w:r>
        <w:t>7</w:t>
      </w:r>
      <w:r>
        <w:fldChar w:fldCharType="end"/>
      </w:r>
      <w:bookmarkEnd w:id="1"/>
      <w:r>
        <w:rPr>
          <w:rFonts w:hint="eastAsia"/>
          <w:lang w:val="en-US" w:eastAsia="zh-CN"/>
        </w:rPr>
        <w:t xml:space="preserve"> 国外大学生返乡就业和乡村振兴相关文献关键词聚类图谱</w:t>
      </w:r>
    </w:p>
    <w:p w14:paraId="744B848F">
      <w:pPr>
        <w:bidi w:val="0"/>
        <w:ind w:left="0" w:leftChars="0" w:firstLine="420" w:firstLineChars="0"/>
        <w:rPr>
          <w:rFonts w:hint="eastAsia"/>
          <w:lang w:val="en-US" w:eastAsia="zh-CN"/>
        </w:rPr>
      </w:pPr>
      <w:r>
        <w:rPr>
          <w:rFonts w:hint="eastAsia" w:ascii="Times New Roman" w:hAnsi="Times New Roman" w:eastAsia="宋体"/>
          <w:sz w:val="24"/>
          <w:lang w:val="en-US" w:eastAsia="zh-CN"/>
        </w:rPr>
        <w:t>本文数据来源于</w:t>
      </w:r>
      <w:r>
        <w:rPr>
          <w:rFonts w:hint="default" w:ascii="Times New Roman" w:hAnsi="Times New Roman" w:eastAsia="宋体"/>
          <w:sz w:val="24"/>
          <w:lang w:val="en-US" w:eastAsia="zh-CN"/>
        </w:rPr>
        <w:t>WebofScience</w:t>
      </w:r>
      <w:r>
        <w:rPr>
          <w:rFonts w:hint="eastAsia" w:ascii="Times New Roman" w:hAnsi="Times New Roman" w:eastAsia="宋体"/>
          <w:sz w:val="24"/>
          <w:lang w:val="en-US" w:eastAsia="zh-CN"/>
        </w:rPr>
        <w:t>，通过关键词可以集中体现文献的核心研究内容以及观点，通过关键词网络图谱可揭示</w:t>
      </w:r>
      <w:r>
        <w:rPr>
          <w:rFonts w:hint="eastAsia"/>
          <w:sz w:val="24"/>
          <w:lang w:val="en-US" w:eastAsia="zh-CN"/>
        </w:rPr>
        <w:t>employment</w:t>
      </w:r>
      <w:r>
        <w:rPr>
          <w:rFonts w:hint="eastAsia" w:ascii="Times New Roman" w:hAnsi="Times New Roman" w:eastAsia="宋体"/>
          <w:sz w:val="24"/>
          <w:lang w:val="en-US" w:eastAsia="zh-CN"/>
        </w:rPr>
        <w:t>领域的研究重点及热点。在合并同类关键词后，通过VOSviewer软件对近几年</w:t>
      </w:r>
      <w:r>
        <w:rPr>
          <w:rFonts w:hint="eastAsia"/>
          <w:sz w:val="24"/>
          <w:lang w:val="en-US" w:eastAsia="zh-CN"/>
        </w:rPr>
        <w:t>大学生返乡就业</w:t>
      </w:r>
      <w:r>
        <w:rPr>
          <w:rFonts w:hint="eastAsia" w:ascii="Times New Roman" w:hAnsi="Times New Roman" w:eastAsia="宋体"/>
          <w:sz w:val="24"/>
          <w:lang w:val="en-US" w:eastAsia="zh-CN"/>
        </w:rPr>
        <w:t>和</w:t>
      </w:r>
      <w:r>
        <w:rPr>
          <w:rFonts w:hint="eastAsia"/>
          <w:sz w:val="24"/>
          <w:lang w:val="en-US" w:eastAsia="zh-CN"/>
        </w:rPr>
        <w:t>乡村振兴</w:t>
      </w:r>
      <w:r>
        <w:rPr>
          <w:rFonts w:hint="eastAsia" w:ascii="Times New Roman" w:hAnsi="Times New Roman" w:eastAsia="宋体"/>
          <w:sz w:val="24"/>
          <w:lang w:val="en-US" w:eastAsia="zh-CN"/>
        </w:rPr>
        <w:t>相关文献关键词进行分析，得到了关键词网络图谱和时间聚类图谱如</w:t>
      </w:r>
      <w:r>
        <w:rPr>
          <w:rFonts w:hint="eastAsia" w:ascii="Times New Roman" w:hAnsi="Times New Roman" w:eastAsia="宋体"/>
          <w:sz w:val="24"/>
          <w:lang w:val="en-US" w:eastAsia="zh-CN"/>
        </w:rPr>
        <w:fldChar w:fldCharType="begin"/>
      </w:r>
      <w:r>
        <w:rPr>
          <w:rFonts w:hint="eastAsia" w:ascii="Times New Roman" w:hAnsi="Times New Roman" w:eastAsia="宋体"/>
          <w:sz w:val="24"/>
          <w:lang w:val="en-US" w:eastAsia="zh-CN"/>
        </w:rPr>
        <w:instrText xml:space="preserve"> REF _Ref7348 \h </w:instrText>
      </w:r>
      <w:r>
        <w:rPr>
          <w:rFonts w:hint="eastAsia" w:ascii="Times New Roman" w:hAnsi="Times New Roman" w:eastAsia="宋体"/>
          <w:sz w:val="24"/>
          <w:lang w:val="en-US" w:eastAsia="zh-CN"/>
        </w:rPr>
        <w:fldChar w:fldCharType="separate"/>
      </w:r>
      <w:r>
        <w:t>图 7</w:t>
      </w:r>
      <w:r>
        <w:rPr>
          <w:rFonts w:hint="eastAsia" w:ascii="Times New Roman" w:hAnsi="Times New Roman" w:eastAsia="宋体"/>
          <w:sz w:val="24"/>
          <w:lang w:val="en-US" w:eastAsia="zh-CN"/>
        </w:rPr>
        <w:fldChar w:fldCharType="end"/>
      </w:r>
      <w:r>
        <w:rPr>
          <w:rFonts w:hint="eastAsia" w:ascii="Times New Roman" w:hAnsi="Times New Roman" w:eastAsia="宋体"/>
          <w:sz w:val="24"/>
          <w:lang w:val="en-US" w:eastAsia="zh-CN"/>
        </w:rPr>
        <w:t>所示。</w:t>
      </w:r>
    </w:p>
    <w:p w14:paraId="02F5517C">
      <w:pPr>
        <w:pStyle w:val="4"/>
        <w:numPr>
          <w:ilvl w:val="0"/>
          <w:numId w:val="0"/>
        </w:numPr>
        <w:bidi w:val="0"/>
        <w:ind w:leftChars="0"/>
        <w:rPr>
          <w:rFonts w:hint="eastAsia"/>
          <w:lang w:val="en-US" w:eastAsia="zh-CN"/>
        </w:rPr>
      </w:pPr>
      <w:r>
        <w:rPr>
          <w:rFonts w:hint="eastAsia"/>
          <w:lang w:val="en-US" w:eastAsia="zh-CN"/>
        </w:rPr>
        <w:t>3.4 大学生返乡就业问题分析</w:t>
      </w:r>
    </w:p>
    <w:p w14:paraId="6C26D74D">
      <w:pPr>
        <w:pStyle w:val="5"/>
        <w:bidi w:val="0"/>
        <w:rPr>
          <w:rFonts w:hint="default"/>
          <w:lang w:val="en-US" w:eastAsia="zh-CN"/>
        </w:rPr>
      </w:pPr>
      <w:r>
        <w:rPr>
          <w:rFonts w:hint="eastAsia"/>
          <w:lang w:val="en-US" w:eastAsia="zh-CN"/>
        </w:rPr>
        <w:t>3.4.1 大学生返乡就业性别及地区分布不平衡问题</w:t>
      </w:r>
    </w:p>
    <w:p w14:paraId="2995FD25">
      <w:pPr>
        <w:bidi w:val="0"/>
        <w:rPr>
          <w:rFonts w:hint="default"/>
          <w:lang w:val="en-US" w:eastAsia="zh-CN"/>
        </w:rPr>
      </w:pPr>
      <w:r>
        <w:rPr>
          <w:rFonts w:hint="eastAsia"/>
          <w:lang w:val="en-US" w:eastAsia="zh-CN"/>
        </w:rPr>
        <w:t>麦可思研究发现</w:t>
      </w:r>
      <w:r>
        <w:rPr>
          <w:rFonts w:hint="eastAsia"/>
          <w:vertAlign w:val="superscript"/>
          <w:lang w:val="en-US" w:eastAsia="zh-CN"/>
        </w:rPr>
        <w:fldChar w:fldCharType="begin"/>
      </w:r>
      <w:r>
        <w:rPr>
          <w:rFonts w:hint="eastAsia"/>
          <w:vertAlign w:val="superscript"/>
          <w:lang w:val="en-US" w:eastAsia="zh-CN"/>
        </w:rPr>
        <w:instrText xml:space="preserve"> REF _Ref27838 \r \h </w:instrText>
      </w:r>
      <w:r>
        <w:rPr>
          <w:rFonts w:hint="eastAsia"/>
          <w:vertAlign w:val="superscript"/>
          <w:lang w:val="en-US" w:eastAsia="zh-CN"/>
        </w:rPr>
        <w:fldChar w:fldCharType="separate"/>
      </w:r>
      <w:r>
        <w:rPr>
          <w:rFonts w:hint="eastAsia"/>
          <w:vertAlign w:val="superscript"/>
          <w:lang w:val="en-US" w:eastAsia="zh-CN"/>
        </w:rPr>
        <w:t>[1]</w:t>
      </w:r>
      <w:r>
        <w:rPr>
          <w:rFonts w:hint="eastAsia"/>
          <w:vertAlign w:val="superscript"/>
          <w:lang w:val="en-US" w:eastAsia="zh-CN"/>
        </w:rPr>
        <w:fldChar w:fldCharType="end"/>
      </w:r>
      <w:r>
        <w:rPr>
          <w:rFonts w:hint="eastAsia"/>
          <w:lang w:val="en-US" w:eastAsia="zh-CN"/>
        </w:rPr>
        <w:t>，不同性别、不同生源地的应届本科生返乡就业情况，均有所不同。在外地求学的2022届本科女生，毕业后即返乡就业的比例（52%）明显高于男生（40%）。这可能与女性更偏向于追求安全稳定的心理机制有关。不同生源地2022届本科毕业生，毕业即返乡就业的比例也差异较大。东部地区生源返乡就业比例最高，为59%，其后为西部地区（44%）。东北地区生源返乡就业比例相对较低，仅为24%。</w:t>
      </w:r>
    </w:p>
    <w:p w14:paraId="2C8FADCA">
      <w:pPr>
        <w:pStyle w:val="5"/>
        <w:bidi w:val="0"/>
        <w:rPr>
          <w:rFonts w:hint="default"/>
          <w:lang w:val="en-US" w:eastAsia="zh-CN"/>
        </w:rPr>
      </w:pPr>
      <w:r>
        <w:rPr>
          <w:rFonts w:hint="eastAsia"/>
          <w:lang w:val="en-US" w:eastAsia="zh-CN"/>
        </w:rPr>
        <w:t>3.4.2大学生乡村基层工作经验缺失问题</w:t>
      </w:r>
    </w:p>
    <w:p w14:paraId="5AF1FE15">
      <w:pPr>
        <w:bidi w:val="0"/>
        <w:rPr>
          <w:rFonts w:hint="eastAsia"/>
          <w:lang w:val="en-US" w:eastAsia="zh-CN"/>
        </w:rPr>
      </w:pPr>
      <w:r>
        <w:rPr>
          <w:rFonts w:hint="eastAsia"/>
          <w:lang w:val="en-US" w:eastAsia="zh-CN"/>
        </w:rPr>
        <w:t>张小诗（2023）的研究表明</w:t>
      </w:r>
      <w:r>
        <w:rPr>
          <w:rFonts w:hint="eastAsia"/>
          <w:lang w:val="en-US" w:eastAsia="zh-CN"/>
        </w:rPr>
        <w:fldChar w:fldCharType="begin"/>
      </w:r>
      <w:r>
        <w:rPr>
          <w:rFonts w:hint="eastAsia"/>
          <w:lang w:val="en-US" w:eastAsia="zh-CN"/>
        </w:rPr>
        <w:instrText xml:space="preserve"> REF _Ref25451 \r \h </w:instrText>
      </w:r>
      <w:r>
        <w:rPr>
          <w:rFonts w:hint="eastAsia"/>
          <w:lang w:val="en-US" w:eastAsia="zh-CN"/>
        </w:rPr>
        <w:fldChar w:fldCharType="separate"/>
      </w:r>
      <w:r>
        <w:rPr>
          <w:rFonts w:hint="eastAsia"/>
          <w:vertAlign w:val="superscript"/>
          <w:lang w:val="en-US" w:eastAsia="zh-CN"/>
        </w:rPr>
        <w:t>[2]</w:t>
      </w:r>
      <w:r>
        <w:rPr>
          <w:rFonts w:hint="eastAsia"/>
          <w:lang w:val="en-US" w:eastAsia="zh-CN"/>
        </w:rPr>
        <w:fldChar w:fldCharType="end"/>
      </w:r>
      <w:r>
        <w:rPr>
          <w:rFonts w:hint="eastAsia"/>
          <w:lang w:val="en-US" w:eastAsia="zh-CN"/>
        </w:rPr>
        <w:t>，对于大多数大学生而言，由于缺少乡村生活的经历和深度体验，也极少有乡村工作实习实践机会，对乡村振兴的实际工作熟悉程度低。</w:t>
      </w:r>
    </w:p>
    <w:p w14:paraId="72761FB7">
      <w:pPr>
        <w:bidi w:val="0"/>
        <w:rPr>
          <w:rFonts w:hint="eastAsia"/>
          <w:lang w:val="en-US" w:eastAsia="zh-CN"/>
        </w:rPr>
      </w:pPr>
      <w:r>
        <w:rPr>
          <w:rFonts w:hint="eastAsia"/>
          <w:lang w:val="en-US" w:eastAsia="zh-CN"/>
        </w:rPr>
        <w:t>对于一部分有意愿参与乡村振兴发展的大学生而言，即使是农业类院校，其人才培养体系也往往更加偏重于农业领域相关理论和技术知识传授，学生的乡村工作实践不充分，对乡村振兴相关政策学习缺失，理论知识与乡村工作实际脱节，导致无法快速适应和融入乡村振兴工作环境，不成熟甚至失败的工作经验往往容易打击大学生在乡村扎根就业的信心，成为阻碍大学生返乡助力乡村振兴发展的重要原因。</w:t>
      </w:r>
    </w:p>
    <w:p w14:paraId="41DE91FE">
      <w:pPr>
        <w:pStyle w:val="5"/>
        <w:bidi w:val="0"/>
        <w:rPr>
          <w:rFonts w:hint="eastAsia"/>
          <w:lang w:val="en-US" w:eastAsia="zh-CN"/>
        </w:rPr>
      </w:pPr>
      <w:r>
        <w:rPr>
          <w:rFonts w:hint="eastAsia"/>
          <w:lang w:val="en-US" w:eastAsia="zh-CN"/>
        </w:rPr>
        <w:t>3.4.3乡村创业条件滞后导致与话语环境不匹配</w:t>
      </w:r>
    </w:p>
    <w:p w14:paraId="35389AAA">
      <w:pPr>
        <w:bidi w:val="0"/>
        <w:rPr>
          <w:rFonts w:hint="eastAsia"/>
          <w:lang w:val="en-US" w:eastAsia="zh-CN"/>
        </w:rPr>
      </w:pPr>
      <w:r>
        <w:rPr>
          <w:rFonts w:hint="eastAsia"/>
          <w:lang w:val="en-US" w:eastAsia="zh-CN"/>
        </w:rPr>
        <w:t>2022年，中央一号文件就提出推进农民就地就业创业，落实各种扶持政策，开展各种技能与职业培训。在后疫情时代，全社会掀起一股青年返乡创业的热潮，这与党中央要打造的共建共治共享的乡村治理格局相契合。青年作为乡村治理的主体之一，富有活力，是乡村治理的内生动力与不竭动力，青年返乡创业是“一核多元”乡村治理模式的表现之一</w:t>
      </w:r>
      <w:r>
        <w:rPr>
          <w:rFonts w:hint="eastAsia"/>
          <w:vertAlign w:val="superscript"/>
          <w:lang w:val="en-US" w:eastAsia="zh-CN"/>
        </w:rPr>
        <w:fldChar w:fldCharType="begin"/>
      </w:r>
      <w:r>
        <w:rPr>
          <w:rFonts w:hint="eastAsia"/>
          <w:vertAlign w:val="superscript"/>
          <w:lang w:val="en-US" w:eastAsia="zh-CN"/>
        </w:rPr>
        <w:instrText xml:space="preserve"> REF _Ref27430 \r \h </w:instrText>
      </w:r>
      <w:r>
        <w:rPr>
          <w:rFonts w:hint="eastAsia"/>
          <w:vertAlign w:val="superscript"/>
          <w:lang w:val="en-US" w:eastAsia="zh-CN"/>
        </w:rPr>
        <w:fldChar w:fldCharType="separate"/>
      </w:r>
      <w:r>
        <w:rPr>
          <w:rFonts w:hint="eastAsia"/>
          <w:vertAlign w:val="superscript"/>
          <w:lang w:val="en-US" w:eastAsia="zh-CN"/>
        </w:rPr>
        <w:t>[3]</w:t>
      </w:r>
      <w:r>
        <w:rPr>
          <w:rFonts w:hint="eastAsia"/>
          <w:vertAlign w:val="superscript"/>
          <w:lang w:val="en-US" w:eastAsia="zh-CN"/>
        </w:rPr>
        <w:fldChar w:fldCharType="end"/>
      </w:r>
      <w:r>
        <w:rPr>
          <w:rFonts w:hint="eastAsia"/>
          <w:lang w:val="en-US" w:eastAsia="zh-CN"/>
        </w:rPr>
        <w:t>，这也让创业话语在乡村兴起，青年返乡创业话语得以生成。但在部分农村地区，由于交通、资金、人才、地理位置等一系列因素，并没有有利的乡村创业条件，致使青年返乡创业话语难以推行。</w:t>
      </w:r>
    </w:p>
    <w:p w14:paraId="35171864">
      <w:pPr>
        <w:pStyle w:val="4"/>
        <w:numPr>
          <w:ilvl w:val="0"/>
          <w:numId w:val="0"/>
        </w:numPr>
        <w:bidi w:val="0"/>
        <w:ind w:leftChars="0"/>
        <w:rPr>
          <w:rFonts w:hint="default"/>
          <w:lang w:val="en-US" w:eastAsia="zh-CN"/>
        </w:rPr>
      </w:pPr>
      <w:r>
        <w:rPr>
          <w:rFonts w:hint="eastAsia"/>
          <w:lang w:val="en-US" w:eastAsia="zh-CN"/>
        </w:rPr>
        <w:t>3.5 大学生返乡就业解决方案</w:t>
      </w:r>
    </w:p>
    <w:p w14:paraId="217F62F5">
      <w:pPr>
        <w:pStyle w:val="5"/>
        <w:bidi w:val="0"/>
        <w:rPr>
          <w:rFonts w:hint="default"/>
          <w:lang w:val="en-US" w:eastAsia="zh-CN"/>
        </w:rPr>
      </w:pPr>
      <w:r>
        <w:rPr>
          <w:rFonts w:hint="eastAsia"/>
          <w:lang w:val="en-US" w:eastAsia="zh-CN"/>
        </w:rPr>
        <w:t>3.5.1 地区分布不平衡方面</w:t>
      </w:r>
    </w:p>
    <w:p w14:paraId="505B03A1">
      <w:pPr>
        <w:bidi w:val="0"/>
        <w:rPr>
          <w:rFonts w:hint="eastAsia"/>
          <w:lang w:val="en-US" w:eastAsia="zh-CN"/>
        </w:rPr>
      </w:pPr>
      <w:r>
        <w:rPr>
          <w:rFonts w:hint="eastAsia"/>
          <w:lang w:val="en-US" w:eastAsia="zh-CN"/>
        </w:rPr>
        <w:t>根据徐晓雯、胡逸等人（2024）的研究，针对大学生返乡就业地区分布不均的问题，采取引导更多高校毕业生到西部地区就业及完善中部地区就业扶持政策，来引导意在东部地区就业毕业生选择中部或西部地区就业</w:t>
      </w:r>
      <w:r>
        <w:rPr>
          <w:rFonts w:hint="eastAsia"/>
          <w:vertAlign w:val="superscript"/>
          <w:lang w:val="en-US" w:eastAsia="zh-CN"/>
        </w:rPr>
        <w:fldChar w:fldCharType="begin"/>
      </w:r>
      <w:r>
        <w:rPr>
          <w:rFonts w:hint="eastAsia"/>
          <w:vertAlign w:val="superscript"/>
          <w:lang w:val="en-US" w:eastAsia="zh-CN"/>
        </w:rPr>
        <w:instrText xml:space="preserve"> REF _Ref11407 \r \h </w:instrText>
      </w:r>
      <w:r>
        <w:rPr>
          <w:rFonts w:hint="eastAsia"/>
          <w:vertAlign w:val="superscript"/>
          <w:lang w:val="en-US" w:eastAsia="zh-CN"/>
        </w:rPr>
        <w:fldChar w:fldCharType="separate"/>
      </w:r>
      <w:r>
        <w:rPr>
          <w:rFonts w:hint="eastAsia"/>
          <w:vertAlign w:val="superscript"/>
          <w:lang w:val="en-US" w:eastAsia="zh-CN"/>
        </w:rPr>
        <w:t>[4]</w:t>
      </w:r>
      <w:r>
        <w:rPr>
          <w:rFonts w:hint="eastAsia"/>
          <w:vertAlign w:val="superscript"/>
          <w:lang w:val="en-US" w:eastAsia="zh-CN"/>
        </w:rPr>
        <w:fldChar w:fldCharType="end"/>
      </w:r>
      <w:r>
        <w:rPr>
          <w:rFonts w:hint="eastAsia"/>
          <w:lang w:val="en-US" w:eastAsia="zh-CN"/>
        </w:rPr>
        <w:t>。</w:t>
      </w:r>
    </w:p>
    <w:p w14:paraId="4388BAE5">
      <w:pPr>
        <w:pStyle w:val="5"/>
        <w:bidi w:val="0"/>
        <w:rPr>
          <w:rFonts w:hint="default"/>
          <w:lang w:val="en-US" w:eastAsia="zh-CN"/>
        </w:rPr>
      </w:pPr>
      <w:r>
        <w:rPr>
          <w:rFonts w:hint="eastAsia"/>
          <w:lang w:val="en-US" w:eastAsia="zh-CN"/>
        </w:rPr>
        <w:t>3.5.2乡村基层工作经验缺失方面</w:t>
      </w:r>
    </w:p>
    <w:p w14:paraId="4D512569">
      <w:pPr>
        <w:bidi w:val="0"/>
        <w:rPr>
          <w:rFonts w:hint="eastAsia"/>
          <w:lang w:val="en-US" w:eastAsia="zh-CN"/>
        </w:rPr>
      </w:pPr>
      <w:r>
        <w:rPr>
          <w:rFonts w:hint="eastAsia"/>
          <w:lang w:val="en-US" w:eastAsia="zh-CN"/>
        </w:rPr>
        <w:t>张小诗（2023）的研究提出，高校特别是农业类院校的学科建设，可以结合乡村振兴人才需求增设乡村振兴相关专业、建设大学生乡村实习实践基地及增加乡村工作实践课时比例等方式，增加大学生乡村基层工作经验，提升返乡创业就业能力</w:t>
      </w:r>
      <w:r>
        <w:rPr>
          <w:rFonts w:hint="eastAsia"/>
          <w:lang w:val="en-US" w:eastAsia="zh-CN"/>
        </w:rPr>
        <w:fldChar w:fldCharType="begin"/>
      </w:r>
      <w:r>
        <w:rPr>
          <w:rFonts w:hint="eastAsia"/>
          <w:lang w:val="en-US" w:eastAsia="zh-CN"/>
        </w:rPr>
        <w:instrText xml:space="preserve"> REF _Ref25451 \r \h </w:instrText>
      </w:r>
      <w:r>
        <w:rPr>
          <w:rFonts w:hint="eastAsia"/>
          <w:lang w:val="en-US" w:eastAsia="zh-CN"/>
        </w:rPr>
        <w:fldChar w:fldCharType="separate"/>
      </w:r>
      <w:r>
        <w:rPr>
          <w:rFonts w:hint="eastAsia"/>
          <w:vertAlign w:val="superscript"/>
          <w:lang w:val="en-US" w:eastAsia="zh-CN"/>
        </w:rPr>
        <w:t>[2]</w:t>
      </w:r>
      <w:r>
        <w:rPr>
          <w:rFonts w:hint="eastAsia"/>
          <w:lang w:val="en-US" w:eastAsia="zh-CN"/>
        </w:rPr>
        <w:fldChar w:fldCharType="end"/>
      </w:r>
      <w:r>
        <w:rPr>
          <w:rFonts w:hint="eastAsia"/>
          <w:lang w:val="en-US" w:eastAsia="zh-CN"/>
        </w:rPr>
        <w:t>。</w:t>
      </w:r>
    </w:p>
    <w:p w14:paraId="5C72D6DF">
      <w:pPr>
        <w:pStyle w:val="5"/>
        <w:bidi w:val="0"/>
        <w:rPr>
          <w:rFonts w:hint="eastAsia"/>
          <w:lang w:val="en-US" w:eastAsia="zh-CN"/>
        </w:rPr>
      </w:pPr>
      <w:r>
        <w:rPr>
          <w:rFonts w:hint="eastAsia"/>
          <w:lang w:val="en-US" w:eastAsia="zh-CN"/>
        </w:rPr>
        <w:t>3.5.3乡村就业创业条件方面</w:t>
      </w:r>
    </w:p>
    <w:p w14:paraId="5CEFE620">
      <w:pPr>
        <w:bidi w:val="0"/>
        <w:rPr>
          <w:rFonts w:hint="eastAsia"/>
          <w:lang w:val="en-US" w:eastAsia="zh-CN"/>
        </w:rPr>
      </w:pPr>
      <w:r>
        <w:rPr>
          <w:rFonts w:hint="eastAsia"/>
          <w:lang w:val="en-US" w:eastAsia="zh-CN"/>
        </w:rPr>
        <w:t>吴燕和孙兴民（2023）提出开发乡村就业创业机会这一举措来改善乡村就业创业条件</w:t>
      </w:r>
      <w:r>
        <w:rPr>
          <w:rFonts w:hint="eastAsia"/>
          <w:vertAlign w:val="superscript"/>
          <w:lang w:val="en-US" w:eastAsia="zh-CN"/>
        </w:rPr>
        <w:fldChar w:fldCharType="begin"/>
      </w:r>
      <w:r>
        <w:rPr>
          <w:rFonts w:hint="eastAsia"/>
          <w:vertAlign w:val="superscript"/>
          <w:lang w:val="en-US" w:eastAsia="zh-CN"/>
        </w:rPr>
        <w:instrText xml:space="preserve"> REF _Ref11456 \r \h </w:instrText>
      </w:r>
      <w:r>
        <w:rPr>
          <w:rFonts w:hint="eastAsia"/>
          <w:vertAlign w:val="superscript"/>
          <w:lang w:val="en-US" w:eastAsia="zh-CN"/>
        </w:rPr>
        <w:fldChar w:fldCharType="separate"/>
      </w:r>
      <w:r>
        <w:rPr>
          <w:rFonts w:hint="eastAsia"/>
          <w:vertAlign w:val="superscript"/>
          <w:lang w:val="en-US" w:eastAsia="zh-CN"/>
        </w:rPr>
        <w:t>[5]</w:t>
      </w:r>
      <w:r>
        <w:rPr>
          <w:rFonts w:hint="eastAsia"/>
          <w:vertAlign w:val="superscript"/>
          <w:lang w:val="en-US" w:eastAsia="zh-CN"/>
        </w:rPr>
        <w:fldChar w:fldCharType="end"/>
      </w:r>
      <w:r>
        <w:rPr>
          <w:rFonts w:hint="eastAsia"/>
          <w:lang w:val="en-US" w:eastAsia="zh-CN"/>
        </w:rPr>
        <w:t>，同时，可以通过发挥企业用人主体作用、优化专业设置、强化产教融合、组织招聘活动等措施促进高校毕业生返乡就业。在乡村振兴战略背景下，构建大学生返乡就业激励机制是促进乡村人才回流的关键举措。</w:t>
      </w:r>
    </w:p>
    <w:p w14:paraId="1A932A87">
      <w:pPr>
        <w:bidi w:val="0"/>
        <w:rPr>
          <w:rFonts w:hint="eastAsia"/>
          <w:lang w:val="en-US" w:eastAsia="zh-CN"/>
        </w:rPr>
      </w:pPr>
      <w:r>
        <w:rPr>
          <w:rFonts w:hint="eastAsia"/>
          <w:lang w:val="en-US" w:eastAsia="zh-CN"/>
        </w:rPr>
        <w:t>覃璇的研究（2025）从政策激励、经济激励、社会文化激励和职业发展激励四个维度在乡村条件方面促进返乡就业创业</w:t>
      </w:r>
      <w:r>
        <w:rPr>
          <w:rFonts w:hint="eastAsia"/>
          <w:vertAlign w:val="superscript"/>
          <w:lang w:val="en-US" w:eastAsia="zh-CN"/>
        </w:rPr>
        <w:fldChar w:fldCharType="begin"/>
      </w:r>
      <w:r>
        <w:rPr>
          <w:rFonts w:hint="eastAsia"/>
          <w:vertAlign w:val="superscript"/>
          <w:lang w:val="en-US" w:eastAsia="zh-CN"/>
        </w:rPr>
        <w:instrText xml:space="preserve"> REF _Ref11483 \r \h </w:instrText>
      </w:r>
      <w:r>
        <w:rPr>
          <w:rFonts w:hint="eastAsia"/>
          <w:vertAlign w:val="superscript"/>
          <w:lang w:val="en-US" w:eastAsia="zh-CN"/>
        </w:rPr>
        <w:fldChar w:fldCharType="separate"/>
      </w:r>
      <w:r>
        <w:rPr>
          <w:rFonts w:hint="eastAsia"/>
          <w:vertAlign w:val="superscript"/>
          <w:lang w:val="en-US" w:eastAsia="zh-CN"/>
        </w:rPr>
        <w:t>[6]</w:t>
      </w:r>
      <w:r>
        <w:rPr>
          <w:rFonts w:hint="eastAsia"/>
          <w:vertAlign w:val="superscript"/>
          <w:lang w:val="en-US" w:eastAsia="zh-CN"/>
        </w:rPr>
        <w:fldChar w:fldCharType="end"/>
      </w:r>
      <w:r>
        <w:rPr>
          <w:rFonts w:hint="eastAsia"/>
          <w:lang w:val="en-US" w:eastAsia="zh-CN"/>
        </w:rPr>
        <w:t>，既营造良好的乡村人文环境，又聚焦于返乡大学生的长远发展，实现“乡村留人”。</w:t>
      </w:r>
    </w:p>
    <w:p w14:paraId="705DBE7F">
      <w:pPr>
        <w:pStyle w:val="4"/>
        <w:numPr>
          <w:ilvl w:val="0"/>
          <w:numId w:val="0"/>
        </w:numPr>
        <w:bidi w:val="0"/>
        <w:ind w:leftChars="0"/>
        <w:rPr>
          <w:rFonts w:hint="eastAsia"/>
          <w:lang w:val="en-US" w:eastAsia="zh-CN"/>
        </w:rPr>
      </w:pPr>
      <w:r>
        <w:rPr>
          <w:rFonts w:hint="eastAsia"/>
          <w:lang w:val="en-US" w:eastAsia="zh-CN"/>
        </w:rPr>
        <w:t>4 大学生返乡就业能力提升建议</w:t>
      </w:r>
    </w:p>
    <w:p w14:paraId="6FC09940">
      <w:pPr>
        <w:bidi w:val="0"/>
        <w:rPr>
          <w:rFonts w:hint="eastAsia"/>
          <w:lang w:val="en-US" w:eastAsia="zh-CN"/>
        </w:rPr>
      </w:pPr>
      <w:r>
        <w:rPr>
          <w:rFonts w:hint="eastAsia"/>
          <w:lang w:val="en-US" w:eastAsia="zh-CN"/>
        </w:rPr>
        <w:t>基于以上分析，提出以下对策建议：</w:t>
      </w:r>
    </w:p>
    <w:p w14:paraId="41BB5688">
      <w:pPr>
        <w:numPr>
          <w:ilvl w:val="0"/>
          <w:numId w:val="2"/>
        </w:numPr>
        <w:bidi w:val="0"/>
        <w:rPr>
          <w:rFonts w:hint="eastAsia"/>
          <w:b/>
          <w:bCs/>
          <w:lang w:val="en-US" w:eastAsia="zh-CN"/>
        </w:rPr>
      </w:pPr>
      <w:r>
        <w:rPr>
          <w:rFonts w:hint="eastAsia"/>
          <w:b/>
          <w:bCs/>
          <w:lang w:val="en-US" w:eastAsia="zh-CN"/>
        </w:rPr>
        <w:t>优化区域就业引导政策，促进中西部地区人才均衡配置</w:t>
      </w:r>
    </w:p>
    <w:p w14:paraId="086EC5A7">
      <w:pPr>
        <w:bidi w:val="0"/>
        <w:rPr>
          <w:rFonts w:hint="eastAsia"/>
          <w:lang w:val="en-US" w:eastAsia="zh-CN"/>
        </w:rPr>
      </w:pPr>
      <w:r>
        <w:rPr>
          <w:rFonts w:hint="eastAsia"/>
          <w:lang w:val="en-US" w:eastAsia="zh-CN"/>
        </w:rPr>
        <w:t>针对地区分布不均问题，需强化政策引导机制。例如，高校可联合地方政府定期发布中西部就业政策手册，举办区域发展专题讲座，将乡村振兴战略融入课程思政教育，提升学生对中西部就业的认知。此外，深化“校地合作”，组织学生赴中西部实地调研，建立定向人才输送通道，推动人才供需精准匹配。</w:t>
      </w:r>
    </w:p>
    <w:p w14:paraId="7B462287">
      <w:pPr>
        <w:numPr>
          <w:ilvl w:val="0"/>
          <w:numId w:val="2"/>
        </w:numPr>
        <w:bidi w:val="0"/>
        <w:ind w:left="0" w:leftChars="0" w:firstLine="482" w:firstLineChars="200"/>
        <w:rPr>
          <w:rFonts w:hint="default"/>
          <w:b/>
          <w:bCs/>
          <w:lang w:val="en-US" w:eastAsia="zh-CN"/>
        </w:rPr>
      </w:pPr>
      <w:r>
        <w:rPr>
          <w:rFonts w:hint="default"/>
          <w:b/>
          <w:bCs/>
          <w:lang w:val="en-US" w:eastAsia="zh-CN"/>
        </w:rPr>
        <w:t>强化基层实践教育体系，弥补乡村工作经验短板</w:t>
      </w:r>
    </w:p>
    <w:p w14:paraId="1B1BCF3E">
      <w:pPr>
        <w:bidi w:val="0"/>
        <w:rPr>
          <w:rFonts w:hint="default"/>
          <w:lang w:val="en-US" w:eastAsia="zh-CN"/>
        </w:rPr>
      </w:pPr>
      <w:r>
        <w:rPr>
          <w:rFonts w:hint="eastAsia"/>
          <w:lang w:val="en-US" w:eastAsia="zh-CN"/>
        </w:rPr>
        <w:t>高校需改革人才培养模式，增设乡村治理、农业技术推广等相关课程，并提高实践课时占比，将乡村实习纳入学分体系。例如，农业类院校可与乡镇共建实践基地，开展“乡村工作坊”项目，让学生参与乡村规划、电商助农等实际任务。</w:t>
      </w:r>
    </w:p>
    <w:p w14:paraId="69061F23">
      <w:pPr>
        <w:bidi w:val="0"/>
        <w:rPr>
          <w:rFonts w:hint="default"/>
          <w:b/>
          <w:bCs/>
          <w:lang w:val="en-US" w:eastAsia="zh-CN"/>
        </w:rPr>
      </w:pPr>
      <w:r>
        <w:rPr>
          <w:rFonts w:hint="eastAsia"/>
          <w:b/>
          <w:bCs/>
          <w:lang w:val="en-US" w:eastAsia="zh-CN"/>
        </w:rPr>
        <w:t>3.完善创业激励机制，优化返乡就业环境</w:t>
      </w:r>
    </w:p>
    <w:p w14:paraId="6A87AF98">
      <w:pPr>
        <w:bidi w:val="0"/>
        <w:rPr>
          <w:rFonts w:hint="default"/>
          <w:lang w:val="en-US" w:eastAsia="zh-CN"/>
        </w:rPr>
      </w:pPr>
      <w:r>
        <w:rPr>
          <w:rFonts w:hint="eastAsia"/>
          <w:lang w:val="en-US" w:eastAsia="zh-CN"/>
        </w:rPr>
        <w:t>政策层面需实行创业补贴、税收减免等政策，地方政府可联合企业开发乡村旅游策划、智慧农业技术员等新兴业态岗位，并搭建“政策链+资金链”服务平台，提供一站式创业支持。此外，加强乡村基础设施建设，优化物流网络、完善医疗教育配套，并通过文化活动营造包容性人文环境，实现“事业留人”与“情感留人”并重。</w:t>
      </w:r>
    </w:p>
    <w:p w14:paraId="3B8BDBAB">
      <w:pPr>
        <w:pStyle w:val="4"/>
        <w:numPr>
          <w:ilvl w:val="0"/>
          <w:numId w:val="0"/>
        </w:numPr>
        <w:bidi w:val="0"/>
        <w:ind w:leftChars="0"/>
        <w:rPr>
          <w:rFonts w:hint="eastAsia"/>
          <w:lang w:val="en-US" w:eastAsia="zh-CN"/>
        </w:rPr>
      </w:pPr>
      <w:r>
        <w:rPr>
          <w:rFonts w:hint="eastAsia"/>
          <w:lang w:val="en-US" w:eastAsia="zh-CN"/>
        </w:rPr>
        <w:t>5参考文献</w:t>
      </w:r>
    </w:p>
    <w:p w14:paraId="17677F4A">
      <w:pPr>
        <w:keepNext w:val="0"/>
        <w:keepLines w:val="0"/>
        <w:pageBreakBefore w:val="0"/>
        <w:widowControl w:val="0"/>
        <w:numPr>
          <w:ilvl w:val="0"/>
          <w:numId w:val="3"/>
        </w:numPr>
        <w:kinsoku/>
        <w:wordWrap w:val="0"/>
        <w:overflowPunct/>
        <w:topLinePunct w:val="0"/>
        <w:autoSpaceDE/>
        <w:autoSpaceDN/>
        <w:bidi w:val="0"/>
        <w:adjustRightInd/>
        <w:snapToGrid/>
        <w:ind w:left="0" w:firstLine="0"/>
        <w:textAlignment w:val="auto"/>
        <w:rPr>
          <w:rFonts w:hint="default"/>
          <w:lang w:val="en-US" w:eastAsia="zh-CN"/>
        </w:rPr>
      </w:pPr>
      <w:bookmarkStart w:id="2" w:name="_Ref27838"/>
      <w:r>
        <w:rPr>
          <w:rFonts w:hint="default"/>
          <w:lang w:val="en-US" w:eastAsia="zh-CN"/>
        </w:rPr>
        <w:t>麦可思研究院</w:t>
      </w:r>
      <w:r>
        <w:rPr>
          <w:rFonts w:hint="eastAsia"/>
          <w:lang w:val="en-US" w:eastAsia="zh-CN"/>
        </w:rPr>
        <w:t>,</w:t>
      </w:r>
      <w:r>
        <w:rPr>
          <w:rFonts w:hint="default"/>
          <w:lang w:val="en-US" w:eastAsia="zh-CN"/>
        </w:rPr>
        <w:t>王伯庆</w:t>
      </w:r>
      <w:r>
        <w:rPr>
          <w:rFonts w:hint="eastAsia"/>
          <w:lang w:val="en-US" w:eastAsia="zh-CN"/>
        </w:rPr>
        <w:t>,</w:t>
      </w:r>
      <w:r>
        <w:rPr>
          <w:rFonts w:hint="default"/>
          <w:lang w:val="en-US" w:eastAsia="zh-CN"/>
        </w:rPr>
        <w:t>王梦萍.2024年中国本科生就业报告[M].北京:社会科学文献出版社.2024年.</w:t>
      </w:r>
      <w:bookmarkEnd w:id="2"/>
    </w:p>
    <w:p w14:paraId="4FFF58C3">
      <w:pPr>
        <w:keepNext w:val="0"/>
        <w:keepLines w:val="0"/>
        <w:pageBreakBefore w:val="0"/>
        <w:widowControl w:val="0"/>
        <w:numPr>
          <w:ilvl w:val="0"/>
          <w:numId w:val="3"/>
        </w:numPr>
        <w:kinsoku/>
        <w:wordWrap w:val="0"/>
        <w:overflowPunct/>
        <w:topLinePunct w:val="0"/>
        <w:autoSpaceDE/>
        <w:autoSpaceDN/>
        <w:bidi w:val="0"/>
        <w:adjustRightInd/>
        <w:snapToGrid/>
        <w:ind w:left="0" w:firstLine="0"/>
        <w:textAlignment w:val="auto"/>
        <w:rPr>
          <w:rFonts w:hint="default"/>
          <w:lang w:val="en-US" w:eastAsia="zh-CN"/>
        </w:rPr>
      </w:pPr>
      <w:bookmarkStart w:id="3" w:name="_Ref25451"/>
      <w:r>
        <w:rPr>
          <w:rFonts w:hint="default"/>
          <w:lang w:val="en-US" w:eastAsia="zh-CN"/>
        </w:rPr>
        <w:t>张小诗.大学生返乡高质量就业助力乡村振兴的对策研究[J].农业经济,2023,(10):124-126.</w:t>
      </w:r>
      <w:bookmarkEnd w:id="3"/>
    </w:p>
    <w:p w14:paraId="357B7CCF">
      <w:pPr>
        <w:keepNext w:val="0"/>
        <w:keepLines w:val="0"/>
        <w:pageBreakBefore w:val="0"/>
        <w:widowControl w:val="0"/>
        <w:numPr>
          <w:ilvl w:val="0"/>
          <w:numId w:val="3"/>
        </w:numPr>
        <w:kinsoku/>
        <w:wordWrap w:val="0"/>
        <w:overflowPunct/>
        <w:topLinePunct w:val="0"/>
        <w:autoSpaceDE/>
        <w:autoSpaceDN/>
        <w:bidi w:val="0"/>
        <w:adjustRightInd/>
        <w:snapToGrid/>
        <w:ind w:left="0" w:firstLine="0"/>
        <w:textAlignment w:val="auto"/>
        <w:rPr>
          <w:rFonts w:hint="default"/>
          <w:lang w:val="en-US" w:eastAsia="zh-CN"/>
        </w:rPr>
      </w:pPr>
      <w:bookmarkStart w:id="4" w:name="_Ref27430"/>
      <w:r>
        <w:rPr>
          <w:rFonts w:hint="default"/>
          <w:lang w:val="en-US" w:eastAsia="zh-CN"/>
        </w:rPr>
        <w:t xml:space="preserve">唐金武,卢迪. 乡村振兴背景下青年返乡创业话语的实践困境与化解路径 [J]. 河北青年管理干部学院学报, 2025, 37 (02): 5-16. </w:t>
      </w:r>
      <w:bookmarkEnd w:id="4"/>
    </w:p>
    <w:p w14:paraId="01A6D3A5">
      <w:pPr>
        <w:keepNext w:val="0"/>
        <w:keepLines w:val="0"/>
        <w:pageBreakBefore w:val="0"/>
        <w:widowControl w:val="0"/>
        <w:numPr>
          <w:ilvl w:val="0"/>
          <w:numId w:val="3"/>
        </w:numPr>
        <w:kinsoku/>
        <w:wordWrap w:val="0"/>
        <w:overflowPunct/>
        <w:topLinePunct w:val="0"/>
        <w:autoSpaceDE/>
        <w:autoSpaceDN/>
        <w:bidi w:val="0"/>
        <w:adjustRightInd/>
        <w:snapToGrid/>
        <w:ind w:left="0" w:firstLine="0"/>
        <w:textAlignment w:val="auto"/>
        <w:rPr>
          <w:rFonts w:hint="eastAsia"/>
          <w:lang w:val="en-US" w:eastAsia="zh-CN"/>
        </w:rPr>
      </w:pPr>
      <w:bookmarkStart w:id="5" w:name="_Ref11407"/>
      <w:r>
        <w:rPr>
          <w:rFonts w:hint="eastAsia"/>
          <w:lang w:val="en-US" w:eastAsia="zh-CN"/>
        </w:rPr>
        <w:t>徐晓雯,胡逸,岳昌君.乡村振兴背景下大学生就业地区分布实证分析[J].经济研究导刊,2024,(02):124-128.</w:t>
      </w:r>
      <w:bookmarkEnd w:id="5"/>
    </w:p>
    <w:p w14:paraId="6A718945">
      <w:pPr>
        <w:keepNext w:val="0"/>
        <w:keepLines w:val="0"/>
        <w:pageBreakBefore w:val="0"/>
        <w:widowControl w:val="0"/>
        <w:numPr>
          <w:ilvl w:val="0"/>
          <w:numId w:val="3"/>
        </w:numPr>
        <w:kinsoku/>
        <w:wordWrap w:val="0"/>
        <w:overflowPunct/>
        <w:topLinePunct w:val="0"/>
        <w:autoSpaceDE/>
        <w:autoSpaceDN/>
        <w:bidi w:val="0"/>
        <w:adjustRightInd/>
        <w:snapToGrid/>
        <w:ind w:left="0" w:firstLine="0"/>
        <w:textAlignment w:val="auto"/>
        <w:rPr>
          <w:rFonts w:hint="eastAsia"/>
          <w:lang w:val="en-US" w:eastAsia="zh-CN"/>
        </w:rPr>
      </w:pPr>
      <w:bookmarkStart w:id="6" w:name="_Ref11456"/>
      <w:r>
        <w:rPr>
          <w:rFonts w:hint="eastAsia"/>
          <w:lang w:val="en-US" w:eastAsia="zh-CN"/>
        </w:rPr>
        <w:t>吴燕,孙兴民.乡村振兴机遇引领下镇江市青年人才返乡就业创业路径研究[J].智慧农业导刊,2023,3(19):126-129+134.DOI:10.20028/j.zhnydk.2023.19.030.</w:t>
      </w:r>
      <w:bookmarkEnd w:id="6"/>
    </w:p>
    <w:p w14:paraId="282FC05A">
      <w:pPr>
        <w:keepNext w:val="0"/>
        <w:keepLines w:val="0"/>
        <w:pageBreakBefore w:val="0"/>
        <w:widowControl w:val="0"/>
        <w:numPr>
          <w:ilvl w:val="0"/>
          <w:numId w:val="3"/>
        </w:numPr>
        <w:kinsoku/>
        <w:wordWrap w:val="0"/>
        <w:overflowPunct/>
        <w:topLinePunct w:val="0"/>
        <w:autoSpaceDE/>
        <w:autoSpaceDN/>
        <w:bidi w:val="0"/>
        <w:adjustRightInd/>
        <w:snapToGrid/>
        <w:ind w:left="0" w:firstLine="0"/>
        <w:textAlignment w:val="auto"/>
        <w:rPr>
          <w:rFonts w:hint="default"/>
          <w:lang w:val="en-US" w:eastAsia="zh-CN"/>
        </w:rPr>
      </w:pPr>
      <w:bookmarkStart w:id="7" w:name="_Ref11483"/>
      <w:r>
        <w:rPr>
          <w:rFonts w:hint="eastAsia"/>
          <w:lang w:val="en-US" w:eastAsia="zh-CN"/>
        </w:rPr>
        <w:t>覃璇.乡村振兴战略下大学生返乡就业激励机制构建研究[J].农村经济与科技,2025,36(06):229-232.</w:t>
      </w:r>
      <w:bookmarkEnd w:id="7"/>
    </w:p>
    <w:p w14:paraId="00AE6A96">
      <w:pPr>
        <w:pStyle w:val="5"/>
        <w:bidi w:val="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AI使用</w:t>
      </w:r>
    </w:p>
    <w:p w14:paraId="72130437">
      <w:pPr>
        <w:numPr>
          <w:ilvl w:val="0"/>
          <w:numId w:val="4"/>
        </w:numPr>
        <w:rPr>
          <w:rFonts w:hint="default"/>
          <w:lang w:val="en-US" w:eastAsia="zh-CN"/>
        </w:rPr>
      </w:pPr>
      <w:r>
        <w:rPr>
          <w:rFonts w:hint="eastAsia"/>
          <w:lang w:val="en-US" w:eastAsia="zh-CN"/>
        </w:rPr>
        <w:t>使用AI工具秘塔、DeepSeek对主题检索词进行上位词，下位词和同义词的扩展。</w:t>
      </w:r>
    </w:p>
    <w:p w14:paraId="2098786F">
      <w:pPr>
        <w:rPr>
          <w:rFonts w:hint="default"/>
          <w:lang w:val="en-US"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306705</wp:posOffset>
            </wp:positionH>
            <wp:positionV relativeFrom="paragraph">
              <wp:posOffset>45085</wp:posOffset>
            </wp:positionV>
            <wp:extent cx="4305935" cy="1997710"/>
            <wp:effectExtent l="0" t="0" r="12065" b="8890"/>
            <wp:wrapTopAndBottom/>
            <wp:docPr id="8" name="图片 8" descr="局部截取_20250511_11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局部截取_20250511_115344"/>
                    <pic:cNvPicPr>
                      <a:picLocks noChangeAspect="1"/>
                    </pic:cNvPicPr>
                  </pic:nvPicPr>
                  <pic:blipFill>
                    <a:blip r:embed="rId16"/>
                    <a:srcRect r="2249"/>
                    <a:stretch>
                      <a:fillRect/>
                    </a:stretch>
                  </pic:blipFill>
                  <pic:spPr>
                    <a:xfrm>
                      <a:off x="0" y="0"/>
                      <a:ext cx="4305935" cy="1997710"/>
                    </a:xfrm>
                    <a:prstGeom prst="rect">
                      <a:avLst/>
                    </a:prstGeom>
                  </pic:spPr>
                </pic:pic>
              </a:graphicData>
            </a:graphic>
          </wp:anchor>
        </w:drawing>
      </w:r>
      <w:r>
        <w:rPr>
          <w:rFonts w:hint="eastAsia"/>
          <w:lang w:val="en-US" w:eastAsia="zh-CN"/>
        </w:rPr>
        <w:t>（2）使用AI工具kimi进行图表文字的提取</w:t>
      </w:r>
    </w:p>
    <w:p w14:paraId="61D8EABE">
      <w:pPr>
        <w:ind w:left="0" w:leftChars="0" w:firstLine="0" w:firstLineChars="0"/>
        <w:rPr>
          <w:rFonts w:hint="eastAsia" w:eastAsiaTheme="minorEastAsia"/>
          <w:lang w:val="en-US" w:eastAsia="zh-CN"/>
        </w:rPr>
        <w:sectPr>
          <w:type w:val="continuous"/>
          <w:pgSz w:w="11906" w:h="16838"/>
          <w:pgMar w:top="1440" w:right="1800" w:bottom="1440" w:left="1800" w:header="851" w:footer="992" w:gutter="0"/>
          <w:cols w:space="425" w:num="1"/>
          <w:docGrid w:type="lines" w:linePitch="312" w:charSpace="0"/>
        </w:sectPr>
      </w:pPr>
    </w:p>
    <w:p w14:paraId="28D35D1E">
      <w:pPr>
        <w:ind w:left="0" w:leftChars="0" w:firstLine="0" w:firstLineChars="0"/>
        <w:rPr>
          <w:rFonts w:hint="eastAsia" w:eastAsiaTheme="minorEastAsia"/>
          <w:lang w:eastAsia="zh-CN"/>
        </w:rPr>
      </w:pPr>
    </w:p>
    <w:p w14:paraId="5D8C0885">
      <w:pPr>
        <w:wordWrap/>
        <w:bidi w:val="0"/>
        <w:spacing w:before="0" w:beforeLines="-2147483648" w:after="0" w:afterLines="-2147483648"/>
        <w:ind w:firstLine="0" w:firstLineChars="0"/>
        <w:jc w:val="center"/>
      </w:pPr>
      <w:r>
        <w:drawing>
          <wp:inline distT="0" distB="0" distL="114300" distR="114300">
            <wp:extent cx="5271770" cy="3355975"/>
            <wp:effectExtent l="0" t="0" r="1143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1770" cy="3355975"/>
                    </a:xfrm>
                    <a:prstGeom prst="rect">
                      <a:avLst/>
                    </a:prstGeom>
                    <a:noFill/>
                    <a:ln>
                      <a:noFill/>
                    </a:ln>
                  </pic:spPr>
                </pic:pic>
              </a:graphicData>
            </a:graphic>
          </wp:inline>
        </w:drawing>
      </w:r>
    </w:p>
    <w:p w14:paraId="7B7201AD">
      <w:pPr>
        <w:numPr>
          <w:numId w:val="0"/>
        </w:numPr>
        <w:rPr>
          <w:rFonts w:hint="default"/>
          <w:lang w:val="en-US" w:eastAsia="zh-CN"/>
        </w:rPr>
      </w:pPr>
      <w:r>
        <w:rPr>
          <w:rFonts w:hint="eastAsia"/>
          <w:lang w:val="en-US" w:eastAsia="zh-CN"/>
        </w:rPr>
        <w:t>使用AI工具秘塔、DeepSeek对主题检索词进行上位词，下位词和同义词的扩展。</w:t>
      </w:r>
    </w:p>
    <w:p w14:paraId="1D7642C6">
      <w:pPr>
        <w:ind w:left="0" w:leftChars="0" w:firstLine="0" w:firstLineChars="0"/>
        <w:rPr>
          <w:rFonts w:hint="eastAsia"/>
          <w:lang w:val="en-US" w:eastAsia="zh-CN"/>
        </w:rPr>
      </w:pPr>
      <w:bookmarkStart w:id="8" w:name="_GoBack"/>
      <w:bookmarkEnd w:id="8"/>
      <w:r>
        <w:rPr>
          <w:rFonts w:hint="eastAsia"/>
          <w:lang w:val="en-US" w:eastAsia="zh-CN"/>
        </w:rPr>
        <w:t>使用AI工具秘塔、Kimi对大学生返乡就业的乡村就业创业条件方面的解决方案进行了深入分析，结合文献提出了针对性的建议。</w:t>
      </w:r>
    </w:p>
    <w:p w14:paraId="75D399C3">
      <w:pPr>
        <w:wordWrap/>
        <w:bidi w:val="0"/>
        <w:spacing w:before="0" w:beforeLines="-2147483648" w:after="0" w:afterLines="-2147483648"/>
        <w:ind w:firstLine="0" w:firstLineChars="0"/>
        <w:jc w:val="center"/>
        <w:rPr>
          <w:rFonts w:hint="eastAsia"/>
          <w:lang w:val="en-US" w:eastAsia="zh-CN"/>
        </w:rPr>
      </w:pPr>
      <w:r>
        <w:rPr>
          <w:rFonts w:hint="eastAsia" w:eastAsiaTheme="minorEastAsia"/>
          <w:lang w:val="en-US" w:eastAsia="zh-CN"/>
        </w:rPr>
        <w:t>以下是与AI对话截图：</w:t>
      </w:r>
    </w:p>
    <w:sectPr>
      <w:type w:val="continuous"/>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ind w:firstLine="480"/>
      </w:pPr>
      <w:r>
        <w:separator/>
      </w:r>
    </w:p>
  </w:footnote>
  <w:footnote w:type="continuationSeparator" w:id="1">
    <w:p>
      <w:pPr>
        <w:spacing w:before="0" w:after="0"/>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C7E260"/>
    <w:multiLevelType w:val="singleLevel"/>
    <w:tmpl w:val="43C7E260"/>
    <w:lvl w:ilvl="0" w:tentative="0">
      <w:start w:val="1"/>
      <w:numFmt w:val="decimal"/>
      <w:suff w:val="nothing"/>
      <w:lvlText w:val="（%1）"/>
      <w:lvlJc w:val="left"/>
    </w:lvl>
  </w:abstractNum>
  <w:abstractNum w:abstractNumId="1">
    <w:nsid w:val="5DB2B960"/>
    <w:multiLevelType w:val="singleLevel"/>
    <w:tmpl w:val="5DB2B960"/>
    <w:lvl w:ilvl="0" w:tentative="0">
      <w:start w:val="1"/>
      <w:numFmt w:val="decimal"/>
      <w:lvlText w:val="[%1]"/>
      <w:lvlJc w:val="left"/>
      <w:pPr>
        <w:tabs>
          <w:tab w:val="left" w:pos="420"/>
        </w:tabs>
        <w:ind w:left="425" w:leftChars="0" w:hanging="425" w:firstLineChars="0"/>
      </w:pPr>
      <w:rPr>
        <w:rFonts w:hint="default"/>
      </w:rPr>
    </w:lvl>
  </w:abstractNum>
  <w:abstractNum w:abstractNumId="2">
    <w:nsid w:val="65C65227"/>
    <w:multiLevelType w:val="singleLevel"/>
    <w:tmpl w:val="65C65227"/>
    <w:lvl w:ilvl="0" w:tentative="0">
      <w:start w:val="1"/>
      <w:numFmt w:val="decimal"/>
      <w:pStyle w:val="4"/>
      <w:suff w:val="space"/>
      <w:lvlText w:val="%1"/>
      <w:lvlJc w:val="left"/>
      <w:pPr>
        <w:ind w:left="425" w:hanging="425"/>
      </w:pPr>
      <w:rPr>
        <w:rFonts w:hint="default"/>
      </w:rPr>
    </w:lvl>
  </w:abstractNum>
  <w:abstractNum w:abstractNumId="3">
    <w:nsid w:val="68716E88"/>
    <w:multiLevelType w:val="singleLevel"/>
    <w:tmpl w:val="68716E88"/>
    <w:lvl w:ilvl="0" w:tentative="0">
      <w:start w:val="1"/>
      <w:numFmt w:val="decimal"/>
      <w:lvlText w:val="%1."/>
      <w:lvlJc w:val="left"/>
      <w:pPr>
        <w:tabs>
          <w:tab w:val="left" w:pos="312"/>
        </w:tabs>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5F65A9"/>
    <w:rsid w:val="01EE5E5A"/>
    <w:rsid w:val="026926F8"/>
    <w:rsid w:val="03A71CA2"/>
    <w:rsid w:val="09363C55"/>
    <w:rsid w:val="0B75332A"/>
    <w:rsid w:val="0D3574BF"/>
    <w:rsid w:val="0F3C74C7"/>
    <w:rsid w:val="14BD76C0"/>
    <w:rsid w:val="165C0B3C"/>
    <w:rsid w:val="16F15225"/>
    <w:rsid w:val="181949BB"/>
    <w:rsid w:val="1820443C"/>
    <w:rsid w:val="18564822"/>
    <w:rsid w:val="1AA67FC8"/>
    <w:rsid w:val="1BC021BE"/>
    <w:rsid w:val="1D5F65A9"/>
    <w:rsid w:val="1D8666D1"/>
    <w:rsid w:val="213166B4"/>
    <w:rsid w:val="215C07D2"/>
    <w:rsid w:val="22364F87"/>
    <w:rsid w:val="25C30677"/>
    <w:rsid w:val="25CB379B"/>
    <w:rsid w:val="296D5007"/>
    <w:rsid w:val="2AC1385C"/>
    <w:rsid w:val="2E78431F"/>
    <w:rsid w:val="2E9A2AA1"/>
    <w:rsid w:val="2EC81296"/>
    <w:rsid w:val="32977AF8"/>
    <w:rsid w:val="341744ED"/>
    <w:rsid w:val="34EB5A9A"/>
    <w:rsid w:val="360A26CD"/>
    <w:rsid w:val="39385504"/>
    <w:rsid w:val="3C495460"/>
    <w:rsid w:val="3D803103"/>
    <w:rsid w:val="40552625"/>
    <w:rsid w:val="415732DC"/>
    <w:rsid w:val="42917540"/>
    <w:rsid w:val="42AE426E"/>
    <w:rsid w:val="43A43045"/>
    <w:rsid w:val="43BB36C1"/>
    <w:rsid w:val="4491365B"/>
    <w:rsid w:val="45C86472"/>
    <w:rsid w:val="466E61EE"/>
    <w:rsid w:val="47C90257"/>
    <w:rsid w:val="48843C25"/>
    <w:rsid w:val="49264AA4"/>
    <w:rsid w:val="497857AB"/>
    <w:rsid w:val="4A8E1972"/>
    <w:rsid w:val="4EEA2B0E"/>
    <w:rsid w:val="4F5101B6"/>
    <w:rsid w:val="52E15F9A"/>
    <w:rsid w:val="53DC50DF"/>
    <w:rsid w:val="55FD3462"/>
    <w:rsid w:val="560426CB"/>
    <w:rsid w:val="5712706A"/>
    <w:rsid w:val="585364B4"/>
    <w:rsid w:val="5B9A0C44"/>
    <w:rsid w:val="5BAC35E9"/>
    <w:rsid w:val="5BDE190F"/>
    <w:rsid w:val="5E1A454F"/>
    <w:rsid w:val="5E1B7B71"/>
    <w:rsid w:val="5EF5626E"/>
    <w:rsid w:val="5FE01A64"/>
    <w:rsid w:val="61926EB1"/>
    <w:rsid w:val="662E75B1"/>
    <w:rsid w:val="696F20FA"/>
    <w:rsid w:val="6B323E52"/>
    <w:rsid w:val="6C723187"/>
    <w:rsid w:val="6D042B59"/>
    <w:rsid w:val="71FE226D"/>
    <w:rsid w:val="735C724B"/>
    <w:rsid w:val="769E7B7B"/>
    <w:rsid w:val="783333E0"/>
    <w:rsid w:val="78EB75F0"/>
    <w:rsid w:val="798B2638"/>
    <w:rsid w:val="79B7335B"/>
    <w:rsid w:val="79D313F3"/>
    <w:rsid w:val="7C746B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wordWrap w:val="0"/>
      <w:spacing w:before="50" w:beforeLines="50" w:after="50" w:afterLines="50"/>
      <w:ind w:firstLine="4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3"/>
    <w:qFormat/>
    <w:uiPriority w:val="0"/>
    <w:pPr>
      <w:keepNext/>
      <w:keepLines/>
      <w:widowControl w:val="0"/>
      <w:spacing w:before="50" w:beforeLines="50" w:beforeAutospacing="0" w:after="50" w:afterLines="50" w:afterAutospacing="0" w:line="240" w:lineRule="auto"/>
      <w:jc w:val="left"/>
      <w:outlineLvl w:val="0"/>
    </w:pPr>
    <w:rPr>
      <w:rFonts w:ascii="Times New Roman" w:hAnsi="Times New Roman" w:eastAsia="黑体" w:cs="Times New Roman"/>
      <w:b/>
      <w:kern w:val="44"/>
      <w:sz w:val="36"/>
      <w:szCs w:val="24"/>
      <w:lang w:val="en-US" w:eastAsia="zh-CN" w:bidi="ar-SA"/>
    </w:rPr>
  </w:style>
  <w:style w:type="paragraph" w:styleId="4">
    <w:name w:val="heading 2"/>
    <w:next w:val="2"/>
    <w:unhideWhenUsed/>
    <w:qFormat/>
    <w:uiPriority w:val="0"/>
    <w:pPr>
      <w:keepNext w:val="0"/>
      <w:keepLines/>
      <w:widowControl w:val="0"/>
      <w:numPr>
        <w:ilvl w:val="0"/>
        <w:numId w:val="1"/>
      </w:numPr>
      <w:spacing w:before="50" w:beforeLines="50" w:beforeAutospacing="0" w:after="50" w:afterLines="50" w:afterAutospacing="0" w:line="240" w:lineRule="auto"/>
      <w:ind w:left="425" w:hanging="425"/>
      <w:jc w:val="both"/>
      <w:outlineLvl w:val="1"/>
    </w:pPr>
    <w:rPr>
      <w:rFonts w:ascii="Times New Roman" w:hAnsi="Times New Roman" w:eastAsia="宋体" w:cs="Times New Roman"/>
      <w:b/>
      <w:kern w:val="2"/>
      <w:sz w:val="28"/>
      <w:szCs w:val="24"/>
      <w:lang w:val="en-US" w:eastAsia="zh-CN" w:bidi="ar-SA"/>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ind w:firstLine="0" w:firstLineChars="0"/>
      <w:outlineLvl w:val="2"/>
    </w:pPr>
    <w:rPr>
      <w:b/>
      <w:sz w:val="2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6">
    <w:name w:val="caption"/>
    <w:basedOn w:val="1"/>
    <w:next w:val="1"/>
    <w:link w:val="13"/>
    <w:unhideWhenUsed/>
    <w:qFormat/>
    <w:uiPriority w:val="0"/>
    <w:pPr>
      <w:ind w:firstLine="0" w:firstLineChars="0"/>
      <w:jc w:val="center"/>
    </w:pPr>
    <w:rPr>
      <w:rFonts w:ascii="Arial" w:hAnsi="Arial" w:eastAsia="黑体"/>
      <w:sz w:val="20"/>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paragraph" w:customStyle="1" w:styleId="11">
    <w:name w:val="图表标题"/>
    <w:basedOn w:val="1"/>
    <w:next w:val="1"/>
    <w:qFormat/>
    <w:uiPriority w:val="0"/>
    <w:pPr>
      <w:spacing w:before="60" w:after="60"/>
      <w:jc w:val="center"/>
    </w:pPr>
    <w:rPr>
      <w:rFonts w:ascii="Times New Roman" w:hAnsi="Times New Roman" w:eastAsia="黑体" w:cs="Times New Roman"/>
      <w:b/>
      <w:color w:val="auto"/>
      <w:kern w:val="1"/>
      <w:lang w:eastAsia="ar-SA"/>
    </w:rPr>
  </w:style>
  <w:style w:type="paragraph" w:customStyle="1" w:styleId="12">
    <w:name w:val="参考文献"/>
    <w:basedOn w:val="1"/>
    <w:autoRedefine/>
    <w:qFormat/>
    <w:uiPriority w:val="0"/>
    <w:pPr>
      <w:ind w:firstLine="0" w:firstLineChars="0"/>
    </w:pPr>
    <w:rPr>
      <w:sz w:val="21"/>
    </w:rPr>
  </w:style>
  <w:style w:type="character" w:customStyle="1" w:styleId="13">
    <w:name w:val="题注 Char"/>
    <w:link w:val="6"/>
    <w:qFormat/>
    <w:uiPriority w:val="0"/>
    <w:rPr>
      <w:rFonts w:ascii="Arial" w:hAnsi="Arial" w:eastAsia="黑体"/>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4044</Words>
  <Characters>4477</Characters>
  <Lines>0</Lines>
  <Paragraphs>0</Paragraphs>
  <TotalTime>0</TotalTime>
  <ScaleCrop>false</ScaleCrop>
  <LinksUpToDate>false</LinksUpToDate>
  <CharactersWithSpaces>4527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2025-05-08T08:07:00Z</dcterms:created>
  <dc:creator>可乐爱加冰</dc:creator>
  <cp:lastModifiedBy>宋雨萱</cp:lastModifiedBy>
  <dcterms:modified xsi:type="dcterms:W3CDTF">2025-05-15T08:20:50Z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43C7E7DA5AA94C0F9F2667C28911B2AA_13</vt:lpwstr>
  </property>
  <property fmtid="{D5CDD505-2E9C-101B-9397-08002B2CF9AE}" pid="4" name="KSOTemplateDocerSaveRecord">
    <vt:lpwstr>eyJoZGlkIjoiYjgyOGQyODI3NTAyMDJjYmRjZmFkZWE1NDI5Y2Q4NDIiLCJ1c2VySWQiOiIxNjgyODEyMzM4In0=</vt:lpwstr>
  </property>
</Properties>
</file>